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A8B243">
      <w:pPr>
        <w:spacing w:line="317" w:lineRule="exact"/>
        <w:ind w:firstLine="6989"/>
      </w:pPr>
      <w:r>
        <w:rPr>
          <w:position w:val="-6"/>
        </w:rPr>
        <w:drawing>
          <wp:inline distT="0" distB="0" distL="0" distR="0">
            <wp:extent cx="1558925" cy="20129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31"/>
                    <a:stretch>
                      <a:fillRect/>
                    </a:stretch>
                  </pic:blipFill>
                  <pic:spPr>
                    <a:xfrm>
                      <a:off x="0" y="0"/>
                      <a:ext cx="1559401" cy="201684"/>
                    </a:xfrm>
                    <a:prstGeom prst="rect">
                      <a:avLst/>
                    </a:prstGeom>
                  </pic:spPr>
                </pic:pic>
              </a:graphicData>
            </a:graphic>
          </wp:inline>
        </w:drawing>
      </w:r>
    </w:p>
    <w:p w14:paraId="6A3B0188">
      <w:pPr>
        <w:spacing w:line="303" w:lineRule="auto"/>
        <w:rPr>
          <w:rFonts w:ascii="Arial"/>
          <w:sz w:val="21"/>
        </w:rPr>
      </w:pPr>
    </w:p>
    <w:p w14:paraId="7FD7B427">
      <w:pPr>
        <w:spacing w:before="305" w:line="1247" w:lineRule="exact"/>
        <w:ind w:left="461"/>
        <w:rPr>
          <w:rFonts w:hint="eastAsia" w:ascii="微软雅黑" w:hAnsi="微软雅黑" w:eastAsia="微软雅黑" w:cs="微软雅黑"/>
          <w:sz w:val="71"/>
          <w:szCs w:val="71"/>
          <w:lang w:eastAsia="zh-CN"/>
        </w:rPr>
      </w:pPr>
      <w:r>
        <w:rPr>
          <w:rFonts w:ascii="微软雅黑" w:hAnsi="微软雅黑" w:eastAsia="微软雅黑" w:cs="微软雅黑"/>
          <w:spacing w:val="-2"/>
          <w:position w:val="11"/>
          <w:sz w:val="71"/>
          <w:szCs w:val="71"/>
        </w:rPr>
        <w:t>2025</w:t>
      </w:r>
    </w:p>
    <w:p w14:paraId="55FF3793">
      <w:pPr>
        <w:spacing w:before="123" w:line="185" w:lineRule="auto"/>
        <w:ind w:left="425"/>
        <w:rPr>
          <w:rFonts w:ascii="微软雅黑" w:hAnsi="微软雅黑" w:eastAsia="微软雅黑" w:cs="微软雅黑"/>
          <w:sz w:val="71"/>
          <w:szCs w:val="71"/>
        </w:rPr>
      </w:pPr>
      <w:r>
        <w:rPr>
          <w:rFonts w:ascii="微软雅黑" w:hAnsi="微软雅黑" w:eastAsia="微软雅黑" w:cs="微软雅黑"/>
          <w:b/>
          <w:bCs/>
          <w:spacing w:val="14"/>
          <w:sz w:val="71"/>
          <w:szCs w:val="71"/>
        </w:rPr>
        <w:t>金融风险与监管证书</w:t>
      </w:r>
    </w:p>
    <w:p w14:paraId="2A7FE6B7">
      <w:pPr>
        <w:spacing w:line="410" w:lineRule="auto"/>
        <w:rPr>
          <w:rFonts w:ascii="Arial"/>
          <w:sz w:val="21"/>
        </w:rPr>
      </w:pPr>
    </w:p>
    <w:p w14:paraId="09DFB79A">
      <w:pPr>
        <w:spacing w:before="304" w:line="173" w:lineRule="auto"/>
        <w:ind w:left="482"/>
        <w:outlineLvl w:val="0"/>
        <w:rPr>
          <w:rFonts w:ascii="微软雅黑" w:hAnsi="微软雅黑" w:eastAsia="微软雅黑" w:cs="微软雅黑"/>
          <w:sz w:val="71"/>
          <w:szCs w:val="71"/>
        </w:rPr>
      </w:pPr>
      <w:r>
        <w:rPr>
          <w:rFonts w:ascii="微软雅黑" w:hAnsi="微软雅黑" w:eastAsia="微软雅黑" w:cs="微软雅黑"/>
          <w:b/>
          <w:bCs/>
          <w:spacing w:val="-16"/>
          <w:sz w:val="71"/>
          <w:szCs w:val="71"/>
        </w:rPr>
        <w:t>FRR™</w:t>
      </w:r>
    </w:p>
    <w:p w14:paraId="1ACF4204">
      <w:pPr>
        <w:spacing w:before="170" w:line="185" w:lineRule="auto"/>
        <w:ind w:left="427"/>
        <w:rPr>
          <w:rFonts w:ascii="微软雅黑" w:hAnsi="微软雅黑" w:eastAsia="微软雅黑" w:cs="微软雅黑"/>
          <w:sz w:val="66"/>
          <w:szCs w:val="66"/>
        </w:rPr>
      </w:pPr>
      <w:r>
        <w:rPr>
          <w:rFonts w:ascii="微软雅黑" w:hAnsi="微软雅黑" w:eastAsia="微软雅黑" w:cs="微软雅黑"/>
          <w:color w:val="231F20"/>
          <w:spacing w:val="10"/>
          <w:sz w:val="66"/>
          <w:szCs w:val="66"/>
        </w:rPr>
        <w:t>考生手册</w:t>
      </w:r>
    </w:p>
    <w:p w14:paraId="5F4CEE58">
      <w:pPr>
        <w:spacing w:line="267" w:lineRule="auto"/>
        <w:rPr>
          <w:rFonts w:ascii="Arial"/>
          <w:sz w:val="21"/>
        </w:rPr>
      </w:pPr>
    </w:p>
    <w:p w14:paraId="0F45257C">
      <w:pPr>
        <w:spacing w:line="267" w:lineRule="auto"/>
        <w:rPr>
          <w:rFonts w:ascii="Arial"/>
          <w:sz w:val="21"/>
        </w:rPr>
      </w:pPr>
    </w:p>
    <w:p w14:paraId="10017046">
      <w:pPr>
        <w:spacing w:line="267" w:lineRule="auto"/>
        <w:rPr>
          <w:rFonts w:ascii="Arial"/>
          <w:sz w:val="21"/>
        </w:rPr>
      </w:pPr>
    </w:p>
    <w:p w14:paraId="34CA4A7A">
      <w:pPr>
        <w:spacing w:line="267" w:lineRule="auto"/>
        <w:rPr>
          <w:rFonts w:ascii="Arial"/>
          <w:sz w:val="21"/>
        </w:rPr>
      </w:pPr>
    </w:p>
    <w:p w14:paraId="54E702C2">
      <w:pPr>
        <w:spacing w:line="267" w:lineRule="auto"/>
        <w:rPr>
          <w:rFonts w:ascii="Arial"/>
          <w:sz w:val="21"/>
        </w:rPr>
      </w:pPr>
    </w:p>
    <w:p w14:paraId="57C1BA16">
      <w:pPr>
        <w:spacing w:line="267" w:lineRule="auto"/>
        <w:rPr>
          <w:rFonts w:ascii="Arial"/>
          <w:sz w:val="21"/>
        </w:rPr>
      </w:pPr>
    </w:p>
    <w:p w14:paraId="68525653">
      <w:pPr>
        <w:spacing w:line="4748" w:lineRule="exact"/>
      </w:pPr>
      <w:r>
        <w:rPr>
          <w:position w:val="-94"/>
        </w:rPr>
        <w:drawing>
          <wp:inline distT="0" distB="0" distL="0" distR="0">
            <wp:extent cx="6028690" cy="301434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32"/>
                    <a:stretch>
                      <a:fillRect/>
                    </a:stretch>
                  </pic:blipFill>
                  <pic:spPr>
                    <a:xfrm>
                      <a:off x="0" y="0"/>
                      <a:ext cx="6028944" cy="3014471"/>
                    </a:xfrm>
                    <a:prstGeom prst="rect">
                      <a:avLst/>
                    </a:prstGeom>
                  </pic:spPr>
                </pic:pic>
              </a:graphicData>
            </a:graphic>
          </wp:inline>
        </w:drawing>
      </w:r>
    </w:p>
    <w:p w14:paraId="24578FF5">
      <w:pPr>
        <w:spacing w:before="19"/>
      </w:pPr>
    </w:p>
    <w:p w14:paraId="6E54545F">
      <w:pPr>
        <w:spacing w:before="19"/>
      </w:pPr>
    </w:p>
    <w:p w14:paraId="41C2C630">
      <w:pPr>
        <w:spacing w:before="19"/>
      </w:pPr>
    </w:p>
    <w:p w14:paraId="6461DFC4">
      <w:pPr>
        <w:spacing w:before="19"/>
      </w:pPr>
    </w:p>
    <w:p w14:paraId="4E8EF975">
      <w:pPr>
        <w:spacing w:before="19"/>
      </w:pPr>
    </w:p>
    <w:p w14:paraId="2E58D651">
      <w:pPr>
        <w:spacing w:before="19"/>
      </w:pPr>
    </w:p>
    <w:p w14:paraId="47A7DFF0">
      <w:pPr>
        <w:sectPr>
          <w:footerReference r:id="rId5" w:type="default"/>
          <w:pgSz w:w="10660" w:h="15081"/>
          <w:pgMar w:top="923" w:right="643" w:bottom="1" w:left="520" w:header="0" w:footer="0" w:gutter="0"/>
          <w:cols w:equalWidth="0" w:num="1">
            <w:col w:w="9495"/>
          </w:cols>
        </w:sectPr>
      </w:pPr>
    </w:p>
    <w:p w14:paraId="1DF31018">
      <w:pPr>
        <w:spacing w:line="14" w:lineRule="auto"/>
        <w:rPr>
          <w:rFonts w:ascii="Arial"/>
          <w:sz w:val="2"/>
        </w:rPr>
      </w:pPr>
      <w:r>
        <w:rPr>
          <w:rFonts w:ascii="Arial" w:hAnsi="Arial" w:eastAsia="Arial" w:cs="Arial"/>
          <w:sz w:val="2"/>
          <w:szCs w:val="2"/>
        </w:rPr>
        <w:br w:type="column"/>
      </w:r>
    </w:p>
    <w:p w14:paraId="1BC9D66F">
      <w:pPr>
        <w:spacing w:line="185" w:lineRule="auto"/>
        <w:rPr>
          <w:rFonts w:ascii="微软雅黑" w:hAnsi="微软雅黑" w:eastAsia="微软雅黑" w:cs="微软雅黑"/>
          <w:sz w:val="18"/>
          <w:szCs w:val="18"/>
        </w:rPr>
        <w:sectPr>
          <w:type w:val="continuous"/>
          <w:pgSz w:w="10660" w:h="15081"/>
          <w:pgMar w:top="923" w:right="643" w:bottom="1" w:left="520" w:header="0" w:footer="0" w:gutter="0"/>
          <w:cols w:equalWidth="0" w:num="3">
            <w:col w:w="6059" w:space="100"/>
            <w:col w:w="1620" w:space="59"/>
            <w:col w:w="1657"/>
          </w:cols>
        </w:sectPr>
      </w:pPr>
    </w:p>
    <w:p w14:paraId="66399124">
      <w:pPr>
        <w:spacing w:line="254" w:lineRule="auto"/>
        <w:rPr>
          <w:rFonts w:ascii="Arial"/>
          <w:sz w:val="21"/>
        </w:rPr>
      </w:pPr>
    </w:p>
    <w:p w14:paraId="54C6DE02">
      <w:pPr>
        <w:spacing w:line="254" w:lineRule="auto"/>
        <w:rPr>
          <w:rFonts w:ascii="Arial"/>
          <w:sz w:val="21"/>
        </w:rPr>
      </w:pPr>
    </w:p>
    <w:p w14:paraId="0AC0C92C">
      <w:pPr>
        <w:spacing w:line="254" w:lineRule="auto"/>
        <w:rPr>
          <w:rFonts w:ascii="Arial"/>
          <w:sz w:val="21"/>
        </w:rPr>
      </w:pPr>
    </w:p>
    <w:p w14:paraId="493E9C9D">
      <w:pPr>
        <w:spacing w:line="254" w:lineRule="auto"/>
        <w:rPr>
          <w:rFonts w:ascii="Arial"/>
          <w:sz w:val="21"/>
        </w:rPr>
      </w:pPr>
    </w:p>
    <w:p w14:paraId="7BFBE459">
      <w:pPr>
        <w:spacing w:line="254" w:lineRule="auto"/>
        <w:rPr>
          <w:rFonts w:ascii="Arial"/>
          <w:sz w:val="21"/>
        </w:rPr>
      </w:pPr>
    </w:p>
    <w:p w14:paraId="524AC06A">
      <w:pPr>
        <w:spacing w:line="254" w:lineRule="auto"/>
        <w:rPr>
          <w:rFonts w:ascii="Arial"/>
          <w:sz w:val="21"/>
        </w:rPr>
      </w:pPr>
    </w:p>
    <w:p w14:paraId="2C267DA2">
      <w:pPr>
        <w:spacing w:line="254" w:lineRule="auto"/>
        <w:rPr>
          <w:rFonts w:ascii="Arial"/>
          <w:sz w:val="21"/>
        </w:rPr>
      </w:pPr>
    </w:p>
    <w:p w14:paraId="5E4846AC">
      <w:pPr>
        <w:spacing w:line="255" w:lineRule="auto"/>
        <w:rPr>
          <w:rFonts w:ascii="Arial"/>
          <w:sz w:val="21"/>
        </w:rPr>
      </w:pPr>
    </w:p>
    <w:p w14:paraId="13BC14B8">
      <w:pPr>
        <w:pStyle w:val="2"/>
        <w:spacing w:before="86" w:line="224" w:lineRule="auto"/>
        <w:ind w:left="2003" w:right="1999" w:firstLine="485"/>
        <w:jc w:val="both"/>
      </w:pPr>
      <w:r>
        <w:rPr>
          <w:color w:val="231F20"/>
          <w:spacing w:val="13"/>
        </w:rPr>
        <w:t>通过对</w:t>
      </w:r>
      <w:r>
        <w:rPr>
          <w:color w:val="231F20"/>
        </w:rPr>
        <w:t>FRR</w:t>
      </w:r>
      <w:r>
        <w:rPr>
          <w:color w:val="231F20"/>
          <w:spacing w:val="13"/>
        </w:rPr>
        <w:t>课程的学习了解</w:t>
      </w:r>
      <w:r>
        <w:rPr>
          <w:color w:val="231F20"/>
          <w:spacing w:val="-11"/>
        </w:rPr>
        <w:t xml:space="preserve"> </w:t>
      </w:r>
      <w:r>
        <w:rPr>
          <w:color w:val="231F20"/>
          <w:spacing w:val="13"/>
        </w:rPr>
        <w:t>，从宏观角度系统学习专业风险管理课</w:t>
      </w:r>
      <w:r>
        <w:rPr>
          <w:color w:val="231F20"/>
        </w:rPr>
        <w:t xml:space="preserve"> </w:t>
      </w:r>
      <w:r>
        <w:rPr>
          <w:color w:val="231F20"/>
          <w:spacing w:val="11"/>
        </w:rPr>
        <w:t>程</w:t>
      </w:r>
      <w:r>
        <w:rPr>
          <w:color w:val="231F20"/>
          <w:spacing w:val="-21"/>
        </w:rPr>
        <w:t xml:space="preserve"> </w:t>
      </w:r>
      <w:r>
        <w:rPr>
          <w:color w:val="231F20"/>
          <w:spacing w:val="11"/>
        </w:rPr>
        <w:t>，原来是知其然不知其所以然</w:t>
      </w:r>
      <w:r>
        <w:rPr>
          <w:color w:val="231F20"/>
          <w:spacing w:val="-21"/>
        </w:rPr>
        <w:t xml:space="preserve"> </w:t>
      </w:r>
      <w:r>
        <w:rPr>
          <w:color w:val="231F20"/>
          <w:spacing w:val="11"/>
        </w:rPr>
        <w:t>，现在能够一下看到深层问题</w:t>
      </w:r>
      <w:r>
        <w:rPr>
          <w:color w:val="231F20"/>
          <w:spacing w:val="-23"/>
        </w:rPr>
        <w:t xml:space="preserve"> </w:t>
      </w:r>
      <w:r>
        <w:rPr>
          <w:color w:val="231F20"/>
          <w:spacing w:val="10"/>
        </w:rPr>
        <w:t>，对实际</w:t>
      </w:r>
      <w:r>
        <w:rPr>
          <w:color w:val="231F20"/>
        </w:rPr>
        <w:t xml:space="preserve"> </w:t>
      </w:r>
      <w:r>
        <w:rPr>
          <w:color w:val="231F20"/>
          <w:spacing w:val="12"/>
        </w:rPr>
        <w:t>工作有指导意义</w:t>
      </w:r>
      <w:r>
        <w:rPr>
          <w:color w:val="231F20"/>
          <w:spacing w:val="-20"/>
        </w:rPr>
        <w:t xml:space="preserve"> </w:t>
      </w:r>
      <w:r>
        <w:rPr>
          <w:color w:val="231F20"/>
          <w:spacing w:val="12"/>
        </w:rPr>
        <w:t>，从专业角度讲比较审时度势</w:t>
      </w:r>
      <w:r>
        <w:rPr>
          <w:color w:val="231F20"/>
          <w:spacing w:val="-20"/>
        </w:rPr>
        <w:t xml:space="preserve"> </w:t>
      </w:r>
      <w:r>
        <w:rPr>
          <w:color w:val="231F20"/>
          <w:spacing w:val="12"/>
        </w:rPr>
        <w:t>，适应最新的国家金融政</w:t>
      </w:r>
      <w:r>
        <w:rPr>
          <w:color w:val="231F20"/>
        </w:rPr>
        <w:t xml:space="preserve"> </w:t>
      </w:r>
      <w:r>
        <w:rPr>
          <w:color w:val="231F20"/>
          <w:spacing w:val="6"/>
        </w:rPr>
        <w:t>策和风险舆情的把握！另外感觉课程设置很严谨</w:t>
      </w:r>
      <w:r>
        <w:rPr>
          <w:color w:val="231F20"/>
          <w:spacing w:val="-20"/>
        </w:rPr>
        <w:t xml:space="preserve"> </w:t>
      </w:r>
      <w:r>
        <w:rPr>
          <w:color w:val="231F20"/>
          <w:spacing w:val="6"/>
        </w:rPr>
        <w:t>，教材内容很翔实</w:t>
      </w:r>
      <w:r>
        <w:rPr>
          <w:color w:val="231F20"/>
          <w:spacing w:val="-25"/>
        </w:rPr>
        <w:t xml:space="preserve"> </w:t>
      </w:r>
      <w:r>
        <w:rPr>
          <w:color w:val="231F20"/>
          <w:spacing w:val="6"/>
        </w:rPr>
        <w:t>，   一</w:t>
      </w:r>
      <w:r>
        <w:rPr>
          <w:color w:val="231F20"/>
        </w:rPr>
        <w:t xml:space="preserve"> </w:t>
      </w:r>
      <w:r>
        <w:rPr>
          <w:color w:val="231F20"/>
          <w:spacing w:val="14"/>
        </w:rPr>
        <w:t>些晦涩难懂的专业名词非常容易理解！</w:t>
      </w:r>
      <w:r>
        <w:rPr>
          <w:color w:val="231F20"/>
          <w:spacing w:val="-36"/>
        </w:rPr>
        <w:t xml:space="preserve"> </w:t>
      </w:r>
      <w:r>
        <w:rPr>
          <w:color w:val="231F20"/>
          <w:spacing w:val="14"/>
        </w:rPr>
        <w:t>让风险部门和信</w:t>
      </w:r>
      <w:r>
        <w:rPr>
          <w:color w:val="231F20"/>
          <w:spacing w:val="13"/>
        </w:rPr>
        <w:t>贷部门的同事学</w:t>
      </w:r>
      <w:r>
        <w:rPr>
          <w:color w:val="231F20"/>
        </w:rPr>
        <w:t xml:space="preserve"> </w:t>
      </w:r>
      <w:r>
        <w:rPr>
          <w:color w:val="231F20"/>
          <w:spacing w:val="13"/>
        </w:rPr>
        <w:t>习</w:t>
      </w:r>
      <w:r>
        <w:rPr>
          <w:color w:val="231F20"/>
        </w:rPr>
        <w:t>FRR</w:t>
      </w:r>
      <w:r>
        <w:rPr>
          <w:color w:val="231F20"/>
          <w:spacing w:val="13"/>
        </w:rPr>
        <w:t>课程非常有必要！</w:t>
      </w:r>
    </w:p>
    <w:p w14:paraId="17E9F14D">
      <w:pPr>
        <w:pStyle w:val="2"/>
        <w:spacing w:before="32" w:line="189" w:lineRule="auto"/>
        <w:ind w:left="6775"/>
      </w:pPr>
      <w:r>
        <w:rPr>
          <w:color w:val="231F20"/>
          <w:spacing w:val="8"/>
        </w:rPr>
        <w:t>——某国有银行行长</w:t>
      </w:r>
    </w:p>
    <w:p w14:paraId="1505866A">
      <w:pPr>
        <w:spacing w:line="312" w:lineRule="auto"/>
        <w:rPr>
          <w:rFonts w:ascii="Arial"/>
          <w:sz w:val="21"/>
        </w:rPr>
      </w:pPr>
    </w:p>
    <w:p w14:paraId="3A352C2E">
      <w:pPr>
        <w:spacing w:line="312" w:lineRule="auto"/>
        <w:rPr>
          <w:rFonts w:ascii="Arial"/>
          <w:sz w:val="21"/>
        </w:rPr>
      </w:pPr>
    </w:p>
    <w:p w14:paraId="2A72DB27">
      <w:pPr>
        <w:spacing w:line="313" w:lineRule="auto"/>
        <w:rPr>
          <w:rFonts w:ascii="Arial"/>
          <w:sz w:val="21"/>
        </w:rPr>
      </w:pPr>
    </w:p>
    <w:p w14:paraId="2E81C167">
      <w:pPr>
        <w:pStyle w:val="2"/>
        <w:spacing w:before="86" w:line="229" w:lineRule="auto"/>
        <w:ind w:left="2006" w:right="1999" w:firstLine="483"/>
        <w:jc w:val="both"/>
      </w:pPr>
      <w:r>
        <w:rPr>
          <w:color w:val="231F20"/>
          <w:spacing w:val="12"/>
        </w:rPr>
        <w:t>接触到</w:t>
      </w:r>
      <w:r>
        <w:rPr>
          <w:color w:val="231F20"/>
        </w:rPr>
        <w:t>FRR</w:t>
      </w:r>
      <w:r>
        <w:rPr>
          <w:color w:val="231F20"/>
          <w:spacing w:val="12"/>
        </w:rPr>
        <w:t>证书及课程是同事推荐的</w:t>
      </w:r>
      <w:r>
        <w:rPr>
          <w:color w:val="231F20"/>
          <w:spacing w:val="-21"/>
        </w:rPr>
        <w:t xml:space="preserve"> </w:t>
      </w:r>
      <w:r>
        <w:rPr>
          <w:color w:val="231F20"/>
          <w:spacing w:val="12"/>
        </w:rPr>
        <w:t>，认为对工作有帮助</w:t>
      </w:r>
      <w:r>
        <w:rPr>
          <w:color w:val="231F20"/>
          <w:spacing w:val="-23"/>
        </w:rPr>
        <w:t xml:space="preserve"> </w:t>
      </w:r>
      <w:r>
        <w:rPr>
          <w:color w:val="231F20"/>
          <w:spacing w:val="12"/>
        </w:rPr>
        <w:t>，于是查</w:t>
      </w:r>
      <w:r>
        <w:rPr>
          <w:color w:val="231F20"/>
        </w:rPr>
        <w:t xml:space="preserve"> </w:t>
      </w:r>
      <w:r>
        <w:rPr>
          <w:color w:val="231F20"/>
          <w:spacing w:val="6"/>
        </w:rPr>
        <w:t>询官网</w:t>
      </w:r>
      <w:r>
        <w:rPr>
          <w:color w:val="231F20"/>
          <w:spacing w:val="-20"/>
        </w:rPr>
        <w:t xml:space="preserve"> </w:t>
      </w:r>
      <w:r>
        <w:rPr>
          <w:color w:val="231F20"/>
          <w:spacing w:val="6"/>
        </w:rPr>
        <w:t>，初步了解了整个证书的体系</w:t>
      </w:r>
      <w:r>
        <w:rPr>
          <w:color w:val="231F20"/>
          <w:spacing w:val="-28"/>
        </w:rPr>
        <w:t xml:space="preserve"> </w:t>
      </w:r>
      <w:r>
        <w:rPr>
          <w:color w:val="231F20"/>
          <w:spacing w:val="6"/>
        </w:rPr>
        <w:t>，接着也认真学习了</w:t>
      </w:r>
      <w:r>
        <w:rPr>
          <w:color w:val="231F20"/>
        </w:rPr>
        <w:t>FRR</w:t>
      </w:r>
      <w:r>
        <w:rPr>
          <w:color w:val="231F20"/>
          <w:spacing w:val="6"/>
        </w:rPr>
        <w:t>课程</w:t>
      </w:r>
      <w:r>
        <w:rPr>
          <w:color w:val="231F20"/>
          <w:spacing w:val="-28"/>
        </w:rPr>
        <w:t xml:space="preserve"> </w:t>
      </w:r>
      <w:r>
        <w:rPr>
          <w:color w:val="231F20"/>
          <w:spacing w:val="6"/>
        </w:rPr>
        <w:t>，对比</w:t>
      </w:r>
      <w:r>
        <w:rPr>
          <w:color w:val="231F20"/>
        </w:rPr>
        <w:t xml:space="preserve"> </w:t>
      </w:r>
      <w:r>
        <w:rPr>
          <w:color w:val="231F20"/>
          <w:spacing w:val="19"/>
        </w:rPr>
        <w:t>信贷方面的相关知识认为还是有很多需要学习和充实的</w:t>
      </w:r>
      <w:r>
        <w:rPr>
          <w:color w:val="231F20"/>
          <w:spacing w:val="1"/>
        </w:rPr>
        <w:t xml:space="preserve"> </w:t>
      </w:r>
      <w:r>
        <w:rPr>
          <w:color w:val="231F20"/>
          <w:spacing w:val="19"/>
        </w:rPr>
        <w:t>，</w:t>
      </w:r>
      <w:r>
        <w:rPr>
          <w:color w:val="231F20"/>
          <w:spacing w:val="-38"/>
        </w:rPr>
        <w:t xml:space="preserve"> </w:t>
      </w:r>
      <w:r>
        <w:rPr>
          <w:color w:val="231F20"/>
          <w:spacing w:val="19"/>
        </w:rPr>
        <w:t>接下来会继</w:t>
      </w:r>
      <w:r>
        <w:rPr>
          <w:color w:val="231F20"/>
        </w:rPr>
        <w:t xml:space="preserve"> </w:t>
      </w:r>
      <w:r>
        <w:rPr>
          <w:color w:val="231F20"/>
          <w:spacing w:val="10"/>
        </w:rPr>
        <w:t>续关注</w:t>
      </w:r>
      <w:r>
        <w:rPr>
          <w:color w:val="231F20"/>
        </w:rPr>
        <w:t>GARP</w:t>
      </w:r>
      <w:r>
        <w:rPr>
          <w:color w:val="231F20"/>
          <w:spacing w:val="10"/>
        </w:rPr>
        <w:t>风险管理相关项目与活动</w:t>
      </w:r>
      <w:r>
        <w:rPr>
          <w:color w:val="231F20"/>
          <w:spacing w:val="-26"/>
        </w:rPr>
        <w:t xml:space="preserve"> </w:t>
      </w:r>
      <w:r>
        <w:rPr>
          <w:color w:val="231F20"/>
          <w:spacing w:val="10"/>
        </w:rPr>
        <w:t>，不断提升自我！</w:t>
      </w:r>
    </w:p>
    <w:p w14:paraId="44AC34B5">
      <w:pPr>
        <w:pStyle w:val="2"/>
        <w:spacing w:before="7" w:line="189" w:lineRule="auto"/>
        <w:ind w:left="6566"/>
      </w:pPr>
      <w:r>
        <w:rPr>
          <w:color w:val="231F20"/>
          <w:spacing w:val="9"/>
        </w:rPr>
        <w:t>——某银行信贷部主任</w:t>
      </w:r>
    </w:p>
    <w:p w14:paraId="3DA233A7">
      <w:pPr>
        <w:spacing w:line="313" w:lineRule="auto"/>
        <w:rPr>
          <w:rFonts w:ascii="Arial"/>
          <w:sz w:val="21"/>
        </w:rPr>
      </w:pPr>
    </w:p>
    <w:p w14:paraId="423EC3D8">
      <w:pPr>
        <w:spacing w:line="314" w:lineRule="auto"/>
        <w:rPr>
          <w:rFonts w:ascii="Arial"/>
          <w:sz w:val="21"/>
        </w:rPr>
      </w:pPr>
    </w:p>
    <w:p w14:paraId="6CBEE4CF">
      <w:pPr>
        <w:spacing w:line="314" w:lineRule="auto"/>
        <w:rPr>
          <w:rFonts w:ascii="Arial"/>
          <w:sz w:val="21"/>
        </w:rPr>
      </w:pPr>
    </w:p>
    <w:p w14:paraId="389BD06F">
      <w:pPr>
        <w:pStyle w:val="2"/>
        <w:spacing w:before="86" w:line="225" w:lineRule="auto"/>
        <w:ind w:left="2002" w:right="2001" w:firstLine="517"/>
      </w:pPr>
      <w:r>
        <w:rPr>
          <w:color w:val="231F20"/>
          <w:spacing w:val="11"/>
        </w:rPr>
        <w:t>四年前</w:t>
      </w:r>
      <w:r>
        <w:rPr>
          <w:color w:val="231F20"/>
          <w:spacing w:val="-23"/>
        </w:rPr>
        <w:t xml:space="preserve"> </w:t>
      </w:r>
      <w:r>
        <w:rPr>
          <w:color w:val="231F20"/>
          <w:spacing w:val="11"/>
        </w:rPr>
        <w:t>，我有幸参加了省分行组织的</w:t>
      </w:r>
      <w:r>
        <w:rPr>
          <w:color w:val="231F20"/>
        </w:rPr>
        <w:t>FRR</w:t>
      </w:r>
      <w:r>
        <w:rPr>
          <w:color w:val="231F20"/>
          <w:spacing w:val="11"/>
        </w:rPr>
        <w:t>课程学习项</w:t>
      </w:r>
      <w:r>
        <w:rPr>
          <w:color w:val="231F20"/>
          <w:spacing w:val="10"/>
        </w:rPr>
        <w:t>目</w:t>
      </w:r>
      <w:r>
        <w:rPr>
          <w:color w:val="231F20"/>
          <w:spacing w:val="-23"/>
        </w:rPr>
        <w:t xml:space="preserve"> </w:t>
      </w:r>
      <w:r>
        <w:rPr>
          <w:color w:val="231F20"/>
          <w:spacing w:val="10"/>
        </w:rPr>
        <w:t>，并顺利通</w:t>
      </w:r>
      <w:r>
        <w:rPr>
          <w:color w:val="231F20"/>
        </w:rPr>
        <w:t xml:space="preserve"> </w:t>
      </w:r>
      <w:r>
        <w:rPr>
          <w:color w:val="231F20"/>
          <w:spacing w:val="6"/>
        </w:rPr>
        <w:t>过考试取得了证书。此次学习</w:t>
      </w:r>
      <w:r>
        <w:rPr>
          <w:color w:val="231F20"/>
          <w:spacing w:val="-19"/>
        </w:rPr>
        <w:t xml:space="preserve"> </w:t>
      </w:r>
      <w:r>
        <w:rPr>
          <w:color w:val="231F20"/>
          <w:spacing w:val="6"/>
        </w:rPr>
        <w:t>，   一是拓展了自己的眼界学识</w:t>
      </w:r>
      <w:r>
        <w:rPr>
          <w:color w:val="231F20"/>
          <w:spacing w:val="-28"/>
        </w:rPr>
        <w:t xml:space="preserve"> </w:t>
      </w:r>
      <w:r>
        <w:rPr>
          <w:color w:val="231F20"/>
          <w:spacing w:val="6"/>
        </w:rPr>
        <w:t>，完善了知</w:t>
      </w:r>
      <w:r>
        <w:rPr>
          <w:color w:val="231F20"/>
        </w:rPr>
        <w:t xml:space="preserve"> </w:t>
      </w:r>
      <w:r>
        <w:rPr>
          <w:color w:val="231F20"/>
          <w:spacing w:val="13"/>
        </w:rPr>
        <w:t>识结构</w:t>
      </w:r>
      <w:r>
        <w:rPr>
          <w:color w:val="231F20"/>
          <w:spacing w:val="-24"/>
        </w:rPr>
        <w:t xml:space="preserve"> </w:t>
      </w:r>
      <w:r>
        <w:rPr>
          <w:color w:val="231F20"/>
          <w:spacing w:val="13"/>
        </w:rPr>
        <w:t>，使自己在理论基础、专业知识等方面都有了</w:t>
      </w:r>
      <w:r>
        <w:rPr>
          <w:color w:val="231F20"/>
          <w:spacing w:val="12"/>
        </w:rPr>
        <w:t>一定程度的提高。</w:t>
      </w:r>
      <w:r>
        <w:rPr>
          <w:color w:val="231F20"/>
        </w:rPr>
        <w:t xml:space="preserve"> </w:t>
      </w:r>
      <w:r>
        <w:rPr>
          <w:color w:val="231F20"/>
          <w:spacing w:val="12"/>
        </w:rPr>
        <w:t>二是通过学习</w:t>
      </w:r>
      <w:r>
        <w:rPr>
          <w:color w:val="231F20"/>
          <w:spacing w:val="-22"/>
        </w:rPr>
        <w:t xml:space="preserve"> </w:t>
      </w:r>
      <w:r>
        <w:rPr>
          <w:color w:val="231F20"/>
          <w:spacing w:val="12"/>
        </w:rPr>
        <w:t>，我再一次深深地感到银行风险控制的重要性</w:t>
      </w:r>
      <w:r>
        <w:rPr>
          <w:color w:val="231F20"/>
          <w:spacing w:val="-20"/>
        </w:rPr>
        <w:t xml:space="preserve"> </w:t>
      </w:r>
      <w:r>
        <w:rPr>
          <w:color w:val="231F20"/>
          <w:spacing w:val="12"/>
        </w:rPr>
        <w:t>，作为风险</w:t>
      </w:r>
      <w:r>
        <w:rPr>
          <w:color w:val="231F20"/>
        </w:rPr>
        <w:t xml:space="preserve"> </w:t>
      </w:r>
      <w:r>
        <w:rPr>
          <w:color w:val="231F20"/>
          <w:spacing w:val="11"/>
        </w:rPr>
        <w:t>条线从业人员责任重大。</w:t>
      </w:r>
      <w:r>
        <w:rPr>
          <w:color w:val="231F20"/>
          <w:spacing w:val="-16"/>
        </w:rPr>
        <w:t xml:space="preserve"> </w:t>
      </w:r>
      <w:r>
        <w:rPr>
          <w:color w:val="231F20"/>
          <w:spacing w:val="11"/>
        </w:rPr>
        <w:t>日常工作中</w:t>
      </w:r>
      <w:r>
        <w:rPr>
          <w:color w:val="231F20"/>
          <w:spacing w:val="-23"/>
        </w:rPr>
        <w:t xml:space="preserve"> </w:t>
      </w:r>
      <w:r>
        <w:rPr>
          <w:color w:val="231F20"/>
          <w:spacing w:val="11"/>
        </w:rPr>
        <w:t>，我也努力学以</w:t>
      </w:r>
      <w:r>
        <w:rPr>
          <w:color w:val="231F20"/>
          <w:spacing w:val="10"/>
        </w:rPr>
        <w:t>致用</w:t>
      </w:r>
      <w:r>
        <w:rPr>
          <w:color w:val="231F20"/>
          <w:spacing w:val="-24"/>
        </w:rPr>
        <w:t xml:space="preserve"> </w:t>
      </w:r>
      <w:r>
        <w:rPr>
          <w:color w:val="231F20"/>
          <w:spacing w:val="10"/>
        </w:rPr>
        <w:t>，灵活运用所</w:t>
      </w:r>
      <w:r>
        <w:rPr>
          <w:color w:val="231F20"/>
        </w:rPr>
        <w:t xml:space="preserve"> </w:t>
      </w:r>
      <w:r>
        <w:rPr>
          <w:color w:val="231F20"/>
          <w:spacing w:val="12"/>
        </w:rPr>
        <w:t>学的知识和积累的经验融入日常工作</w:t>
      </w:r>
      <w:r>
        <w:rPr>
          <w:color w:val="231F20"/>
          <w:spacing w:val="-7"/>
        </w:rPr>
        <w:t xml:space="preserve"> </w:t>
      </w:r>
      <w:r>
        <w:rPr>
          <w:color w:val="231F20"/>
          <w:spacing w:val="12"/>
        </w:rPr>
        <w:t>，</w:t>
      </w:r>
      <w:r>
        <w:rPr>
          <w:color w:val="231F20"/>
          <w:spacing w:val="-35"/>
        </w:rPr>
        <w:t xml:space="preserve"> </w:t>
      </w:r>
      <w:r>
        <w:rPr>
          <w:color w:val="231F20"/>
          <w:spacing w:val="12"/>
        </w:rPr>
        <w:t>以更高的视角、更新的理念、更</w:t>
      </w:r>
      <w:r>
        <w:rPr>
          <w:color w:val="231F20"/>
        </w:rPr>
        <w:t xml:space="preserve"> </w:t>
      </w:r>
      <w:r>
        <w:rPr>
          <w:color w:val="231F20"/>
          <w:spacing w:val="7"/>
        </w:rPr>
        <w:t>稳的态度来处理各项工作</w:t>
      </w:r>
      <w:r>
        <w:rPr>
          <w:color w:val="231F20"/>
          <w:spacing w:val="-12"/>
        </w:rPr>
        <w:t xml:space="preserve"> </w:t>
      </w:r>
      <w:r>
        <w:rPr>
          <w:color w:val="231F20"/>
          <w:spacing w:val="7"/>
        </w:rPr>
        <w:t>，为我行的业务发展作出自己不懈的努力。</w:t>
      </w:r>
    </w:p>
    <w:p w14:paraId="7FCB36B3">
      <w:pPr>
        <w:pStyle w:val="2"/>
        <w:spacing w:before="20" w:line="189" w:lineRule="auto"/>
        <w:ind w:left="5935"/>
      </w:pPr>
      <w:r>
        <w:rPr>
          <w:color w:val="231F20"/>
          <w:spacing w:val="9"/>
        </w:rPr>
        <w:t>——交通银行某风险管理人员</w:t>
      </w:r>
    </w:p>
    <w:p w14:paraId="182ACAB5">
      <w:pPr>
        <w:spacing w:line="313" w:lineRule="auto"/>
        <w:rPr>
          <w:rFonts w:ascii="Arial"/>
          <w:sz w:val="21"/>
        </w:rPr>
      </w:pPr>
    </w:p>
    <w:p w14:paraId="3CED8E0E">
      <w:pPr>
        <w:spacing w:line="313" w:lineRule="auto"/>
        <w:rPr>
          <w:rFonts w:ascii="Arial"/>
          <w:sz w:val="21"/>
        </w:rPr>
      </w:pPr>
    </w:p>
    <w:p w14:paraId="6CC8962A">
      <w:pPr>
        <w:spacing w:line="313" w:lineRule="auto"/>
        <w:rPr>
          <w:rFonts w:ascii="Arial"/>
          <w:sz w:val="21"/>
        </w:rPr>
      </w:pPr>
    </w:p>
    <w:p w14:paraId="4EEEA4AC">
      <w:pPr>
        <w:pStyle w:val="2"/>
        <w:spacing w:before="86" w:line="227" w:lineRule="auto"/>
        <w:ind w:left="2005" w:right="1994" w:firstLine="483"/>
        <w:jc w:val="both"/>
      </w:pPr>
      <w:r>
        <w:rPr>
          <w:color w:val="231F20"/>
          <w:spacing w:val="21"/>
        </w:rPr>
        <w:t>通过学习</w:t>
      </w:r>
      <w:r>
        <w:rPr>
          <w:color w:val="231F20"/>
        </w:rPr>
        <w:t>FRR</w:t>
      </w:r>
      <w:r>
        <w:rPr>
          <w:color w:val="231F20"/>
          <w:spacing w:val="21"/>
        </w:rPr>
        <w:t>课程受益良多</w:t>
      </w:r>
      <w:r>
        <w:rPr>
          <w:color w:val="231F20"/>
          <w:spacing w:val="-14"/>
        </w:rPr>
        <w:t xml:space="preserve"> </w:t>
      </w:r>
      <w:r>
        <w:rPr>
          <w:color w:val="231F20"/>
          <w:spacing w:val="21"/>
        </w:rPr>
        <w:t>，之后也会坚持学习更多风险管</w:t>
      </w:r>
      <w:r>
        <w:rPr>
          <w:color w:val="231F20"/>
          <w:spacing w:val="20"/>
        </w:rPr>
        <w:t>理知</w:t>
      </w:r>
      <w:r>
        <w:rPr>
          <w:color w:val="231F20"/>
        </w:rPr>
        <w:t xml:space="preserve"> </w:t>
      </w:r>
      <w:r>
        <w:rPr>
          <w:color w:val="231F20"/>
          <w:spacing w:val="11"/>
        </w:rPr>
        <w:t>识。</w:t>
      </w:r>
      <w:r>
        <w:rPr>
          <w:color w:val="231F20"/>
          <w:spacing w:val="-17"/>
        </w:rPr>
        <w:t xml:space="preserve"> </w:t>
      </w:r>
      <w:r>
        <w:rPr>
          <w:color w:val="231F20"/>
          <w:spacing w:val="11"/>
        </w:rPr>
        <w:t>目前的工作岗位是个贷</w:t>
      </w:r>
      <w:r>
        <w:rPr>
          <w:color w:val="231F20"/>
          <w:spacing w:val="-23"/>
        </w:rPr>
        <w:t xml:space="preserve"> </w:t>
      </w:r>
      <w:r>
        <w:rPr>
          <w:color w:val="231F20"/>
          <w:spacing w:val="11"/>
        </w:rPr>
        <w:t>，通过学习对利率定价有</w:t>
      </w:r>
      <w:r>
        <w:rPr>
          <w:color w:val="231F20"/>
          <w:spacing w:val="10"/>
        </w:rPr>
        <w:t>了深入的认识</w:t>
      </w:r>
      <w:r>
        <w:rPr>
          <w:color w:val="231F20"/>
          <w:spacing w:val="-23"/>
        </w:rPr>
        <w:t xml:space="preserve"> </w:t>
      </w:r>
      <w:r>
        <w:rPr>
          <w:color w:val="231F20"/>
          <w:spacing w:val="10"/>
        </w:rPr>
        <w:t>，对</w:t>
      </w:r>
      <w:r>
        <w:rPr>
          <w:color w:val="231F20"/>
        </w:rPr>
        <w:t xml:space="preserve"> </w:t>
      </w:r>
      <w:r>
        <w:rPr>
          <w:color w:val="231F20"/>
          <w:spacing w:val="17"/>
        </w:rPr>
        <w:t>银行业存在的风险以及缓释措施进行更全面的学习</w:t>
      </w:r>
      <w:r>
        <w:rPr>
          <w:color w:val="231F20"/>
          <w:spacing w:val="-9"/>
        </w:rPr>
        <w:t xml:space="preserve"> </w:t>
      </w:r>
      <w:r>
        <w:rPr>
          <w:color w:val="231F20"/>
          <w:spacing w:val="17"/>
        </w:rPr>
        <w:t>，</w:t>
      </w:r>
      <w:r>
        <w:rPr>
          <w:color w:val="231F20"/>
          <w:spacing w:val="-39"/>
        </w:rPr>
        <w:t xml:space="preserve"> </w:t>
      </w:r>
      <w:r>
        <w:rPr>
          <w:color w:val="231F20"/>
          <w:spacing w:val="17"/>
        </w:rPr>
        <w:t>对工作有很 大的</w:t>
      </w:r>
      <w:r>
        <w:rPr>
          <w:color w:val="231F20"/>
        </w:rPr>
        <w:t xml:space="preserve"> </w:t>
      </w:r>
      <w:r>
        <w:rPr>
          <w:color w:val="231F20"/>
          <w:spacing w:val="3"/>
        </w:rPr>
        <w:t>帮助。</w:t>
      </w:r>
    </w:p>
    <w:p w14:paraId="5424E9BC">
      <w:pPr>
        <w:pStyle w:val="2"/>
        <w:spacing w:before="19" w:line="189" w:lineRule="auto"/>
        <w:ind w:left="5515"/>
      </w:pPr>
      <w:r>
        <w:rPr>
          <w:color w:val="231F20"/>
          <w:spacing w:val="9"/>
        </w:rPr>
        <w:t>——中国邮政储蓄银行某优秀员工</w:t>
      </w:r>
    </w:p>
    <w:p w14:paraId="44B62D25">
      <w:pPr>
        <w:spacing w:line="189" w:lineRule="auto"/>
        <w:sectPr>
          <w:footerReference r:id="rId6" w:type="default"/>
          <w:pgSz w:w="10660" w:h="15081"/>
          <w:pgMar w:top="0" w:right="0" w:bottom="311" w:left="0" w:header="0" w:footer="0" w:gutter="0"/>
          <w:cols w:space="720" w:num="1"/>
        </w:sectPr>
      </w:pPr>
    </w:p>
    <w:p w14:paraId="695D735A">
      <w:pPr>
        <w:pStyle w:val="2"/>
        <w:spacing w:before="98" w:line="185" w:lineRule="auto"/>
        <w:ind w:left="47"/>
        <w:rPr>
          <w:sz w:val="49"/>
          <w:szCs w:val="49"/>
        </w:rPr>
      </w:pPr>
      <w:r>
        <w:rPr>
          <w:color w:val="7F7F7F"/>
          <w:spacing w:val="-5"/>
          <w:sz w:val="49"/>
          <w:szCs w:val="49"/>
        </w:rPr>
        <w:t>FRR 简</w:t>
      </w:r>
      <w:r>
        <w:rPr>
          <w:color w:val="7F7F7F"/>
          <w:spacing w:val="-40"/>
          <w:sz w:val="49"/>
          <w:szCs w:val="49"/>
        </w:rPr>
        <w:t xml:space="preserve"> </w:t>
      </w:r>
      <w:r>
        <w:rPr>
          <w:color w:val="7F7F7F"/>
          <w:spacing w:val="-5"/>
          <w:sz w:val="49"/>
          <w:szCs w:val="49"/>
        </w:rPr>
        <w:t>介</w:t>
      </w:r>
    </w:p>
    <w:p w14:paraId="5A0778CA">
      <w:pPr>
        <w:spacing w:line="257" w:lineRule="auto"/>
        <w:rPr>
          <w:rFonts w:ascii="Arial"/>
          <w:sz w:val="21"/>
        </w:rPr>
      </w:pPr>
    </w:p>
    <w:p w14:paraId="4DC40A8C">
      <w:pPr>
        <w:spacing w:line="257" w:lineRule="auto"/>
        <w:rPr>
          <w:rFonts w:ascii="Arial"/>
          <w:sz w:val="21"/>
        </w:rPr>
      </w:pPr>
    </w:p>
    <w:p w14:paraId="3D3176A2">
      <w:pPr>
        <w:pStyle w:val="2"/>
        <w:spacing w:before="85" w:line="219" w:lineRule="auto"/>
        <w:ind w:right="35" w:firstLine="484"/>
        <w:jc w:val="both"/>
      </w:pPr>
      <w:r>
        <w:rPr>
          <w:color w:val="231F20"/>
          <w:spacing w:val="3"/>
        </w:rPr>
        <w:t>金</w:t>
      </w:r>
      <w:r>
        <w:rPr>
          <w:color w:val="231F20"/>
          <w:spacing w:val="-20"/>
        </w:rPr>
        <w:t xml:space="preserve"> </w:t>
      </w:r>
      <w:r>
        <w:rPr>
          <w:color w:val="231F20"/>
          <w:spacing w:val="3"/>
        </w:rPr>
        <w:t>融</w:t>
      </w:r>
      <w:r>
        <w:rPr>
          <w:color w:val="231F20"/>
          <w:spacing w:val="-33"/>
        </w:rPr>
        <w:t xml:space="preserve"> </w:t>
      </w:r>
      <w:r>
        <w:rPr>
          <w:color w:val="231F20"/>
          <w:spacing w:val="3"/>
        </w:rPr>
        <w:t>风</w:t>
      </w:r>
      <w:r>
        <w:rPr>
          <w:color w:val="231F20"/>
          <w:spacing w:val="-20"/>
        </w:rPr>
        <w:t xml:space="preserve"> </w:t>
      </w:r>
      <w:r>
        <w:rPr>
          <w:color w:val="231F20"/>
          <w:spacing w:val="3"/>
        </w:rPr>
        <w:t>险</w:t>
      </w:r>
      <w:r>
        <w:rPr>
          <w:color w:val="231F20"/>
          <w:spacing w:val="-32"/>
        </w:rPr>
        <w:t xml:space="preserve"> </w:t>
      </w:r>
      <w:r>
        <w:rPr>
          <w:color w:val="231F20"/>
          <w:spacing w:val="3"/>
        </w:rPr>
        <w:t>与</w:t>
      </w:r>
      <w:r>
        <w:rPr>
          <w:color w:val="231F20"/>
          <w:spacing w:val="-31"/>
        </w:rPr>
        <w:t xml:space="preserve"> </w:t>
      </w:r>
      <w:r>
        <w:rPr>
          <w:color w:val="231F20"/>
          <w:spacing w:val="3"/>
        </w:rPr>
        <w:t>监</w:t>
      </w:r>
      <w:r>
        <w:rPr>
          <w:color w:val="231F20"/>
          <w:spacing w:val="-32"/>
        </w:rPr>
        <w:t xml:space="preserve"> </w:t>
      </w:r>
      <w:r>
        <w:rPr>
          <w:color w:val="231F20"/>
          <w:spacing w:val="3"/>
        </w:rPr>
        <w:t>管</w:t>
      </w:r>
      <w:r>
        <w:rPr>
          <w:color w:val="231F20"/>
          <w:spacing w:val="-32"/>
        </w:rPr>
        <w:t xml:space="preserve"> </w:t>
      </w:r>
      <w:r>
        <w:rPr>
          <w:color w:val="231F20"/>
          <w:spacing w:val="3"/>
        </w:rPr>
        <w:t>证</w:t>
      </w:r>
      <w:r>
        <w:rPr>
          <w:color w:val="231F20"/>
          <w:spacing w:val="-27"/>
        </w:rPr>
        <w:t xml:space="preserve"> </w:t>
      </w:r>
      <w:r>
        <w:rPr>
          <w:color w:val="231F20"/>
          <w:spacing w:val="3"/>
        </w:rPr>
        <w:t>书</w:t>
      </w:r>
      <w:r>
        <w:rPr>
          <w:color w:val="231F20"/>
          <w:spacing w:val="-30"/>
        </w:rPr>
        <w:t xml:space="preserve"> </w:t>
      </w:r>
      <w:r>
        <w:rPr>
          <w:color w:val="231F20"/>
          <w:spacing w:val="3"/>
        </w:rPr>
        <w:t xml:space="preserve">（ </w:t>
      </w:r>
      <w:r>
        <w:rPr>
          <w:color w:val="231F20"/>
        </w:rPr>
        <w:t>Financial</w:t>
      </w:r>
      <w:r>
        <w:rPr>
          <w:color w:val="231F20"/>
          <w:spacing w:val="3"/>
        </w:rPr>
        <w:t xml:space="preserve">  </w:t>
      </w:r>
      <w:r>
        <w:rPr>
          <w:color w:val="231F20"/>
        </w:rPr>
        <w:t>Risk</w:t>
      </w:r>
      <w:r>
        <w:rPr>
          <w:color w:val="231F20"/>
          <w:spacing w:val="3"/>
        </w:rPr>
        <w:t xml:space="preserve">  </w:t>
      </w:r>
      <w:r>
        <w:rPr>
          <w:color w:val="231F20"/>
        </w:rPr>
        <w:t>and</w:t>
      </w:r>
      <w:r>
        <w:rPr>
          <w:color w:val="231F20"/>
          <w:spacing w:val="3"/>
        </w:rPr>
        <w:t xml:space="preserve">  </w:t>
      </w:r>
      <w:r>
        <w:rPr>
          <w:color w:val="231F20"/>
        </w:rPr>
        <w:t>Regulation</w:t>
      </w:r>
      <w:r>
        <w:rPr>
          <w:color w:val="231F20"/>
          <w:spacing w:val="3"/>
        </w:rPr>
        <w:t xml:space="preserve">,   </w:t>
      </w:r>
      <w:r>
        <w:rPr>
          <w:color w:val="231F20"/>
        </w:rPr>
        <w:t>FRR</w:t>
      </w:r>
      <w:r>
        <w:rPr>
          <w:color w:val="231F20"/>
          <w:position w:val="9"/>
        </w:rPr>
        <w:t>TM</w:t>
      </w:r>
      <w:r>
        <w:rPr>
          <w:color w:val="231F20"/>
          <w:spacing w:val="3"/>
          <w:position w:val="9"/>
        </w:rPr>
        <w:t xml:space="preserve">  </w:t>
      </w:r>
      <w:r>
        <w:rPr>
          <w:color w:val="231F20"/>
          <w:spacing w:val="3"/>
        </w:rPr>
        <w:t>） 由</w:t>
      </w:r>
      <w:r>
        <w:rPr>
          <w:color w:val="231F20"/>
          <w:spacing w:val="-33"/>
        </w:rPr>
        <w:t xml:space="preserve"> </w:t>
      </w:r>
      <w:r>
        <w:rPr>
          <w:color w:val="231F20"/>
          <w:spacing w:val="3"/>
        </w:rPr>
        <w:t>全</w:t>
      </w:r>
      <w:r>
        <w:rPr>
          <w:color w:val="231F20"/>
          <w:spacing w:val="-29"/>
        </w:rPr>
        <w:t xml:space="preserve"> </w:t>
      </w:r>
      <w:r>
        <w:rPr>
          <w:color w:val="231F20"/>
          <w:spacing w:val="3"/>
        </w:rPr>
        <w:t>球</w:t>
      </w:r>
      <w:r>
        <w:rPr>
          <w:color w:val="231F20"/>
          <w:spacing w:val="-33"/>
        </w:rPr>
        <w:t xml:space="preserve"> </w:t>
      </w:r>
      <w:r>
        <w:rPr>
          <w:color w:val="231F20"/>
          <w:spacing w:val="3"/>
        </w:rPr>
        <w:t>风</w:t>
      </w:r>
      <w:r>
        <w:rPr>
          <w:color w:val="231F20"/>
          <w:spacing w:val="-23"/>
        </w:rPr>
        <w:t xml:space="preserve"> </w:t>
      </w:r>
      <w:r>
        <w:rPr>
          <w:color w:val="231F20"/>
          <w:spacing w:val="3"/>
        </w:rPr>
        <w:t>险</w:t>
      </w:r>
      <w:r>
        <w:rPr>
          <w:color w:val="231F20"/>
          <w:spacing w:val="-32"/>
        </w:rPr>
        <w:t xml:space="preserve"> </w:t>
      </w:r>
      <w:r>
        <w:rPr>
          <w:color w:val="231F20"/>
          <w:spacing w:val="3"/>
        </w:rPr>
        <w:t>管</w:t>
      </w:r>
      <w:r>
        <w:rPr>
          <w:color w:val="231F20"/>
          <w:spacing w:val="-33"/>
        </w:rPr>
        <w:t xml:space="preserve"> </w:t>
      </w:r>
      <w:r>
        <w:rPr>
          <w:color w:val="231F20"/>
          <w:spacing w:val="3"/>
        </w:rPr>
        <w:t>理</w:t>
      </w:r>
      <w:r>
        <w:rPr>
          <w:color w:val="231F20"/>
          <w:spacing w:val="-33"/>
        </w:rPr>
        <w:t xml:space="preserve"> </w:t>
      </w:r>
      <w:r>
        <w:rPr>
          <w:color w:val="231F20"/>
          <w:spacing w:val="3"/>
        </w:rPr>
        <w:t>专</w:t>
      </w:r>
      <w:r>
        <w:rPr>
          <w:color w:val="231F20"/>
          <w:spacing w:val="-32"/>
        </w:rPr>
        <w:t xml:space="preserve"> </w:t>
      </w:r>
      <w:r>
        <w:rPr>
          <w:color w:val="231F20"/>
          <w:spacing w:val="3"/>
        </w:rPr>
        <w:t>业</w:t>
      </w:r>
      <w:r>
        <w:rPr>
          <w:color w:val="231F20"/>
        </w:rPr>
        <w:t xml:space="preserve"> </w:t>
      </w:r>
      <w:r>
        <w:rPr>
          <w:color w:val="231F20"/>
          <w:spacing w:val="13"/>
        </w:rPr>
        <w:t>人</w:t>
      </w:r>
      <w:r>
        <w:rPr>
          <w:color w:val="231F20"/>
          <w:spacing w:val="-30"/>
        </w:rPr>
        <w:t xml:space="preserve"> </w:t>
      </w:r>
      <w:r>
        <w:rPr>
          <w:color w:val="231F20"/>
          <w:spacing w:val="13"/>
        </w:rPr>
        <w:t>士协会</w:t>
      </w:r>
      <w:r>
        <w:rPr>
          <w:color w:val="231F20"/>
          <w:spacing w:val="-34"/>
        </w:rPr>
        <w:t xml:space="preserve"> </w:t>
      </w:r>
      <w:r>
        <w:rPr>
          <w:color w:val="231F20"/>
          <w:spacing w:val="13"/>
        </w:rPr>
        <w:t>（</w:t>
      </w:r>
      <w:r>
        <w:rPr>
          <w:color w:val="231F20"/>
          <w:spacing w:val="-11"/>
        </w:rPr>
        <w:t xml:space="preserve"> </w:t>
      </w:r>
      <w:r>
        <w:rPr>
          <w:color w:val="231F20"/>
        </w:rPr>
        <w:t>Global</w:t>
      </w:r>
      <w:r>
        <w:rPr>
          <w:color w:val="231F20"/>
          <w:spacing w:val="44"/>
        </w:rPr>
        <w:t xml:space="preserve"> </w:t>
      </w:r>
      <w:r>
        <w:rPr>
          <w:color w:val="231F20"/>
        </w:rPr>
        <w:t>Association</w:t>
      </w:r>
      <w:r>
        <w:rPr>
          <w:color w:val="231F20"/>
          <w:spacing w:val="47"/>
          <w:w w:val="101"/>
        </w:rPr>
        <w:t xml:space="preserve"> </w:t>
      </w:r>
      <w:r>
        <w:rPr>
          <w:color w:val="231F20"/>
        </w:rPr>
        <w:t>of</w:t>
      </w:r>
      <w:r>
        <w:rPr>
          <w:color w:val="231F20"/>
          <w:spacing w:val="2"/>
        </w:rPr>
        <w:t xml:space="preserve">  </w:t>
      </w:r>
      <w:r>
        <w:rPr>
          <w:color w:val="231F20"/>
        </w:rPr>
        <w:t>Risk</w:t>
      </w:r>
      <w:r>
        <w:rPr>
          <w:color w:val="231F20"/>
          <w:spacing w:val="13"/>
        </w:rPr>
        <w:t xml:space="preserve">  </w:t>
      </w:r>
      <w:r>
        <w:rPr>
          <w:color w:val="231F20"/>
        </w:rPr>
        <w:t>Professionals</w:t>
      </w:r>
      <w:r>
        <w:rPr>
          <w:color w:val="231F20"/>
          <w:spacing w:val="13"/>
        </w:rPr>
        <w:t xml:space="preserve">,  </w:t>
      </w:r>
      <w:r>
        <w:rPr>
          <w:color w:val="231F20"/>
        </w:rPr>
        <w:t>GARP</w:t>
      </w:r>
      <w:r>
        <w:rPr>
          <w:color w:val="231F20"/>
          <w:spacing w:val="13"/>
        </w:rPr>
        <w:t>）</w:t>
      </w:r>
      <w:r>
        <w:rPr>
          <w:color w:val="231F20"/>
          <w:spacing w:val="-19"/>
        </w:rPr>
        <w:t xml:space="preserve"> </w:t>
      </w:r>
      <w:r>
        <w:rPr>
          <w:color w:val="231F20"/>
          <w:spacing w:val="13"/>
        </w:rPr>
        <w:t>推出 ，</w:t>
      </w:r>
      <w:r>
        <w:rPr>
          <w:color w:val="231F20"/>
          <w:spacing w:val="-32"/>
        </w:rPr>
        <w:t xml:space="preserve"> </w:t>
      </w:r>
      <w:r>
        <w:rPr>
          <w:color w:val="231F20"/>
          <w:spacing w:val="13"/>
        </w:rPr>
        <w:t>在</w:t>
      </w:r>
      <w:r>
        <w:rPr>
          <w:color w:val="231F20"/>
          <w:spacing w:val="-22"/>
        </w:rPr>
        <w:t xml:space="preserve"> </w:t>
      </w:r>
      <w:r>
        <w:rPr>
          <w:color w:val="231F20"/>
          <w:spacing w:val="13"/>
        </w:rPr>
        <w:t>国内是</w:t>
      </w:r>
      <w:r>
        <w:rPr>
          <w:color w:val="231F20"/>
          <w:spacing w:val="-35"/>
        </w:rPr>
        <w:t xml:space="preserve"> </w:t>
      </w:r>
      <w:r>
        <w:rPr>
          <w:color w:val="231F20"/>
          <w:spacing w:val="13"/>
        </w:rPr>
        <w:t>人</w:t>
      </w:r>
      <w:r>
        <w:rPr>
          <w:color w:val="231F20"/>
          <w:spacing w:val="-33"/>
        </w:rPr>
        <w:t xml:space="preserve"> </w:t>
      </w:r>
      <w:r>
        <w:rPr>
          <w:color w:val="231F20"/>
          <w:spacing w:val="13"/>
        </w:rPr>
        <w:t>力资</w:t>
      </w:r>
      <w:r>
        <w:rPr>
          <w:color w:val="231F20"/>
          <w:spacing w:val="-35"/>
        </w:rPr>
        <w:t xml:space="preserve"> </w:t>
      </w:r>
      <w:r>
        <w:rPr>
          <w:color w:val="231F20"/>
          <w:spacing w:val="13"/>
        </w:rPr>
        <w:t>源和</w:t>
      </w:r>
      <w:r>
        <w:rPr>
          <w:color w:val="231F20"/>
          <w:spacing w:val="-35"/>
        </w:rPr>
        <w:t xml:space="preserve"> </w:t>
      </w:r>
      <w:r>
        <w:rPr>
          <w:color w:val="231F20"/>
          <w:spacing w:val="13"/>
        </w:rPr>
        <w:t>社</w:t>
      </w:r>
      <w:r>
        <w:rPr>
          <w:color w:val="231F20"/>
        </w:rPr>
        <w:t xml:space="preserve"> </w:t>
      </w:r>
      <w:r>
        <w:rPr>
          <w:color w:val="231F20"/>
          <w:spacing w:val="14"/>
        </w:rPr>
        <w:t>会保障部注册项目“银行风险与监管国际证书</w:t>
      </w:r>
      <w:r>
        <w:rPr>
          <w:color w:val="231F20"/>
          <w:spacing w:val="-26"/>
        </w:rPr>
        <w:t xml:space="preserve"> </w:t>
      </w:r>
      <w:r>
        <w:rPr>
          <w:color w:val="231F20"/>
          <w:spacing w:val="14"/>
        </w:rPr>
        <w:t>”的中级。该证书得到全球195个国家和地区认可，</w:t>
      </w:r>
      <w:r>
        <w:rPr>
          <w:color w:val="231F20"/>
        </w:rPr>
        <w:t xml:space="preserve"> </w:t>
      </w:r>
      <w:r>
        <w:rPr>
          <w:color w:val="231F20"/>
          <w:spacing w:val="8"/>
        </w:rPr>
        <w:t>迄今已有超过12万名学员参与考试。</w:t>
      </w:r>
    </w:p>
    <w:p w14:paraId="32752D06">
      <w:pPr>
        <w:spacing w:line="417" w:lineRule="auto"/>
        <w:rPr>
          <w:rFonts w:ascii="Arial"/>
          <w:sz w:val="21"/>
        </w:rPr>
      </w:pPr>
    </w:p>
    <w:p w14:paraId="47AD6C0A">
      <w:pPr>
        <w:pStyle w:val="2"/>
        <w:spacing w:before="86" w:line="223" w:lineRule="auto"/>
        <w:ind w:right="23" w:firstLine="436"/>
        <w:jc w:val="both"/>
      </w:pPr>
      <w:r>
        <w:rPr>
          <w:color w:val="231F20"/>
          <w:spacing w:val="12"/>
        </w:rPr>
        <w:t>在新发展格局下</w:t>
      </w:r>
      <w:r>
        <w:rPr>
          <w:color w:val="231F20"/>
          <w:spacing w:val="-20"/>
        </w:rPr>
        <w:t xml:space="preserve"> </w:t>
      </w:r>
      <w:r>
        <w:rPr>
          <w:color w:val="231F20"/>
          <w:spacing w:val="12"/>
        </w:rPr>
        <w:t>，</w:t>
      </w:r>
      <w:r>
        <w:rPr>
          <w:color w:val="231F20"/>
          <w:spacing w:val="-39"/>
        </w:rPr>
        <w:t xml:space="preserve"> </w:t>
      </w:r>
      <w:r>
        <w:rPr>
          <w:color w:val="231F20"/>
          <w:spacing w:val="12"/>
        </w:rPr>
        <w:t>为加强金融业以高质量风控推动高质量发展</w:t>
      </w:r>
      <w:r>
        <w:rPr>
          <w:color w:val="231F20"/>
          <w:spacing w:val="-25"/>
        </w:rPr>
        <w:t xml:space="preserve"> </w:t>
      </w:r>
      <w:r>
        <w:rPr>
          <w:color w:val="231F20"/>
          <w:spacing w:val="12"/>
        </w:rPr>
        <w:t>，金融机</w:t>
      </w:r>
      <w:r>
        <w:rPr>
          <w:color w:val="231F20"/>
          <w:spacing w:val="11"/>
        </w:rPr>
        <w:t>构加快风险管理专业人</w:t>
      </w:r>
      <w:r>
        <w:rPr>
          <w:color w:val="231F20"/>
        </w:rPr>
        <w:t xml:space="preserve"> </w:t>
      </w:r>
      <w:r>
        <w:rPr>
          <w:color w:val="231F20"/>
          <w:spacing w:val="12"/>
        </w:rPr>
        <w:t>才培养、不断完善风险管理队伍层次和结构的需求日益紧迫。</w:t>
      </w:r>
      <w:r>
        <w:rPr>
          <w:color w:val="231F20"/>
          <w:spacing w:val="-14"/>
        </w:rPr>
        <w:t xml:space="preserve"> </w:t>
      </w:r>
      <w:r>
        <w:rPr>
          <w:spacing w:val="12"/>
        </w:rPr>
        <w:t>中国银行业已全面对外开放</w:t>
      </w:r>
      <w:r>
        <w:rPr>
          <w:spacing w:val="-15"/>
        </w:rPr>
        <w:t xml:space="preserve"> </w:t>
      </w:r>
      <w:r>
        <w:rPr>
          <w:spacing w:val="12"/>
        </w:rPr>
        <w:t>，逐渐实</w:t>
      </w:r>
      <w:r>
        <w:t xml:space="preserve"> </w:t>
      </w:r>
      <w:r>
        <w:rPr>
          <w:spacing w:val="17"/>
        </w:rPr>
        <w:t>行《巴塞尔新资本协议》</w:t>
      </w:r>
      <w:r>
        <w:rPr>
          <w:spacing w:val="-11"/>
        </w:rPr>
        <w:t xml:space="preserve"> </w:t>
      </w:r>
      <w:r>
        <w:rPr>
          <w:spacing w:val="17"/>
        </w:rPr>
        <w:t>(I,</w:t>
      </w:r>
      <w:r>
        <w:rPr>
          <w:spacing w:val="46"/>
        </w:rPr>
        <w:t xml:space="preserve"> </w:t>
      </w:r>
      <w:r>
        <w:t>II</w:t>
      </w:r>
      <w:r>
        <w:rPr>
          <w:spacing w:val="17"/>
        </w:rPr>
        <w:t>,</w:t>
      </w:r>
      <w:r>
        <w:rPr>
          <w:spacing w:val="30"/>
          <w:w w:val="101"/>
        </w:rPr>
        <w:t xml:space="preserve"> </w:t>
      </w:r>
      <w:r>
        <w:rPr>
          <w:spacing w:val="17"/>
        </w:rPr>
        <w:t>乃至</w:t>
      </w:r>
      <w:r>
        <w:rPr>
          <w:rFonts w:hint="eastAsia"/>
          <w:spacing w:val="17"/>
          <w:lang w:eastAsia="zh-CN"/>
        </w:rPr>
        <w:t>Ⅲ</w:t>
      </w:r>
      <w:r>
        <w:rPr>
          <w:spacing w:val="17"/>
        </w:rPr>
        <w:t>)</w:t>
      </w:r>
      <w:r>
        <w:rPr>
          <w:spacing w:val="-29"/>
        </w:rPr>
        <w:t xml:space="preserve"> </w:t>
      </w:r>
      <w:r>
        <w:rPr>
          <w:spacing w:val="17"/>
        </w:rPr>
        <w:t>。</w:t>
      </w:r>
      <w:r>
        <w:rPr>
          <w:spacing w:val="-24"/>
        </w:rPr>
        <w:t xml:space="preserve"> </w:t>
      </w:r>
      <w:r>
        <w:rPr>
          <w:spacing w:val="17"/>
        </w:rPr>
        <w:t>中国银行业已经</w:t>
      </w:r>
      <w:r>
        <w:rPr>
          <w:spacing w:val="16"/>
        </w:rPr>
        <w:t>认识到必须提高银行的金融风险管理水</w:t>
      </w:r>
      <w:r>
        <w:t xml:space="preserve"> </w:t>
      </w:r>
      <w:r>
        <w:rPr>
          <w:spacing w:val="15"/>
        </w:rPr>
        <w:t>平</w:t>
      </w:r>
      <w:r>
        <w:rPr>
          <w:spacing w:val="-18"/>
        </w:rPr>
        <w:t xml:space="preserve"> </w:t>
      </w:r>
      <w:r>
        <w:rPr>
          <w:spacing w:val="15"/>
        </w:rPr>
        <w:t>，</w:t>
      </w:r>
      <w:r>
        <w:rPr>
          <w:spacing w:val="-37"/>
        </w:rPr>
        <w:t xml:space="preserve"> </w:t>
      </w:r>
      <w:r>
        <w:rPr>
          <w:spacing w:val="15"/>
        </w:rPr>
        <w:t>必须具备一批了解国际标准</w:t>
      </w:r>
      <w:r>
        <w:rPr>
          <w:spacing w:val="-18"/>
        </w:rPr>
        <w:t xml:space="preserve"> </w:t>
      </w:r>
      <w:r>
        <w:rPr>
          <w:spacing w:val="15"/>
        </w:rPr>
        <w:t>，</w:t>
      </w:r>
      <w:r>
        <w:rPr>
          <w:spacing w:val="-36"/>
        </w:rPr>
        <w:t xml:space="preserve"> </w:t>
      </w:r>
      <w:r>
        <w:rPr>
          <w:spacing w:val="15"/>
        </w:rPr>
        <w:t>掌握全面</w:t>
      </w:r>
      <w:r>
        <w:rPr>
          <w:spacing w:val="14"/>
        </w:rPr>
        <w:t>基本的银行风险管理知识</w:t>
      </w:r>
      <w:r>
        <w:rPr>
          <w:spacing w:val="-16"/>
        </w:rPr>
        <w:t xml:space="preserve"> </w:t>
      </w:r>
      <w:r>
        <w:rPr>
          <w:spacing w:val="14"/>
        </w:rPr>
        <w:t>，</w:t>
      </w:r>
      <w:r>
        <w:rPr>
          <w:spacing w:val="-32"/>
        </w:rPr>
        <w:t xml:space="preserve"> </w:t>
      </w:r>
      <w:r>
        <w:rPr>
          <w:spacing w:val="14"/>
        </w:rPr>
        <w:t>了解国际银行监管架构的</w:t>
      </w:r>
      <w:r>
        <w:t xml:space="preserve"> </w:t>
      </w:r>
      <w:r>
        <w:rPr>
          <w:spacing w:val="14"/>
        </w:rPr>
        <w:t>风险管理人才。</w:t>
      </w:r>
    </w:p>
    <w:p w14:paraId="354CD66D">
      <w:pPr>
        <w:spacing w:line="362" w:lineRule="auto"/>
        <w:rPr>
          <w:rFonts w:ascii="Arial"/>
          <w:sz w:val="21"/>
        </w:rPr>
      </w:pPr>
    </w:p>
    <w:p w14:paraId="382FA06E">
      <w:pPr>
        <w:pStyle w:val="2"/>
        <w:spacing w:before="86" w:line="233" w:lineRule="auto"/>
        <w:ind w:left="1" w:right="28" w:firstLine="458"/>
        <w:jc w:val="both"/>
      </w:pPr>
      <w:r>
        <w:rPr>
          <w:spacing w:val="14"/>
        </w:rPr>
        <w:t>2023年中央金融工作会议强调</w:t>
      </w:r>
      <w:r>
        <w:rPr>
          <w:spacing w:val="-8"/>
        </w:rPr>
        <w:t xml:space="preserve"> </w:t>
      </w:r>
      <w:r>
        <w:rPr>
          <w:spacing w:val="14"/>
        </w:rPr>
        <w:t>：金融是国民经济的血脉</w:t>
      </w:r>
      <w:r>
        <w:rPr>
          <w:spacing w:val="-19"/>
        </w:rPr>
        <w:t xml:space="preserve"> </w:t>
      </w:r>
      <w:r>
        <w:rPr>
          <w:spacing w:val="14"/>
        </w:rPr>
        <w:t>，是国家核心竞争力的重要组成部分</w:t>
      </w:r>
      <w:r>
        <w:t xml:space="preserve"> </w:t>
      </w:r>
      <w:r>
        <w:rPr>
          <w:spacing w:val="12"/>
        </w:rPr>
        <w:t>,</w:t>
      </w:r>
      <w:r>
        <w:rPr>
          <w:spacing w:val="25"/>
          <w:w w:val="101"/>
        </w:rPr>
        <w:t xml:space="preserve">  </w:t>
      </w:r>
      <w:r>
        <w:rPr>
          <w:spacing w:val="12"/>
        </w:rPr>
        <w:t>要加快建设金融强国</w:t>
      </w:r>
      <w:r>
        <w:rPr>
          <w:spacing w:val="-16"/>
        </w:rPr>
        <w:t xml:space="preserve"> </w:t>
      </w:r>
      <w:r>
        <w:rPr>
          <w:spacing w:val="12"/>
        </w:rPr>
        <w:t>，全面加强金融监管</w:t>
      </w:r>
      <w:r>
        <w:rPr>
          <w:spacing w:val="-18"/>
        </w:rPr>
        <w:t xml:space="preserve"> </w:t>
      </w:r>
      <w:r>
        <w:rPr>
          <w:spacing w:val="12"/>
        </w:rPr>
        <w:t>，</w:t>
      </w:r>
      <w:r>
        <w:rPr>
          <w:spacing w:val="-37"/>
        </w:rPr>
        <w:t xml:space="preserve"> </w:t>
      </w:r>
      <w:r>
        <w:rPr>
          <w:spacing w:val="12"/>
        </w:rPr>
        <w:t>完善金融体制</w:t>
      </w:r>
      <w:r>
        <w:rPr>
          <w:spacing w:val="-16"/>
        </w:rPr>
        <w:t xml:space="preserve"> </w:t>
      </w:r>
      <w:r>
        <w:rPr>
          <w:spacing w:val="12"/>
        </w:rPr>
        <w:t>，优化金融服务</w:t>
      </w:r>
      <w:r>
        <w:rPr>
          <w:spacing w:val="-16"/>
        </w:rPr>
        <w:t xml:space="preserve"> </w:t>
      </w:r>
      <w:r>
        <w:rPr>
          <w:spacing w:val="12"/>
        </w:rPr>
        <w:t>，</w:t>
      </w:r>
      <w:r>
        <w:rPr>
          <w:spacing w:val="-30"/>
        </w:rPr>
        <w:t xml:space="preserve"> </w:t>
      </w:r>
      <w:r>
        <w:rPr>
          <w:spacing w:val="12"/>
        </w:rPr>
        <w:t>防范化解风险</w:t>
      </w:r>
      <w:r>
        <w:rPr>
          <w:spacing w:val="-18"/>
        </w:rPr>
        <w:t xml:space="preserve"> </w:t>
      </w:r>
      <w:r>
        <w:rPr>
          <w:spacing w:val="12"/>
        </w:rPr>
        <w:t>，</w:t>
      </w:r>
      <w:r>
        <w:rPr>
          <w:spacing w:val="-37"/>
        </w:rPr>
        <w:t xml:space="preserve"> </w:t>
      </w:r>
      <w:r>
        <w:rPr>
          <w:spacing w:val="12"/>
        </w:rPr>
        <w:t>坚</w:t>
      </w:r>
      <w:r>
        <w:t xml:space="preserve"> </w:t>
      </w:r>
      <w:r>
        <w:rPr>
          <w:spacing w:val="17"/>
        </w:rPr>
        <w:t>定不移走中国特色金融发展之路</w:t>
      </w:r>
      <w:r>
        <w:rPr>
          <w:spacing w:val="-16"/>
        </w:rPr>
        <w:t xml:space="preserve"> </w:t>
      </w:r>
      <w:r>
        <w:rPr>
          <w:spacing w:val="17"/>
        </w:rPr>
        <w:t>，推动我国金融高质量发</w:t>
      </w:r>
      <w:r>
        <w:rPr>
          <w:spacing w:val="16"/>
        </w:rPr>
        <w:t>展</w:t>
      </w:r>
      <w:r>
        <w:rPr>
          <w:spacing w:val="-15"/>
        </w:rPr>
        <w:t xml:space="preserve"> </w:t>
      </w:r>
      <w:r>
        <w:rPr>
          <w:spacing w:val="16"/>
        </w:rPr>
        <w:t>，</w:t>
      </w:r>
      <w:r>
        <w:rPr>
          <w:spacing w:val="-37"/>
        </w:rPr>
        <w:t xml:space="preserve"> </w:t>
      </w:r>
      <w:r>
        <w:rPr>
          <w:spacing w:val="16"/>
        </w:rPr>
        <w:t>为</w:t>
      </w:r>
      <w:r>
        <w:rPr>
          <w:rFonts w:hint="eastAsia"/>
          <w:spacing w:val="16"/>
          <w:lang w:eastAsia="zh-CN"/>
        </w:rPr>
        <w:t>以中国式现代化全面推进强国建设</w:t>
      </w:r>
      <w:r>
        <w:t xml:space="preserve"> </w:t>
      </w:r>
      <w:r>
        <w:rPr>
          <w:spacing w:val="12"/>
        </w:rPr>
        <w:t>、</w:t>
      </w:r>
      <w:r>
        <w:rPr>
          <w:spacing w:val="-14"/>
        </w:rPr>
        <w:t xml:space="preserve"> </w:t>
      </w:r>
      <w:r>
        <w:rPr>
          <w:spacing w:val="12"/>
        </w:rPr>
        <w:t>民族复兴伟业提供有力支撑。</w:t>
      </w:r>
    </w:p>
    <w:p w14:paraId="15EEC3BC">
      <w:pPr>
        <w:spacing w:line="343" w:lineRule="auto"/>
        <w:rPr>
          <w:rFonts w:ascii="Arial"/>
          <w:sz w:val="21"/>
        </w:rPr>
      </w:pPr>
    </w:p>
    <w:p w14:paraId="44923EC8">
      <w:pPr>
        <w:pStyle w:val="2"/>
        <w:spacing w:before="86" w:line="229" w:lineRule="auto"/>
        <w:ind w:right="21" w:firstLine="465"/>
        <w:jc w:val="both"/>
      </w:pPr>
      <w:r>
        <w:rPr>
          <w:color w:val="231F20"/>
          <w:spacing w:val="14"/>
        </w:rPr>
        <w:t>目前</w:t>
      </w:r>
      <w:r>
        <w:rPr>
          <w:color w:val="231F20"/>
          <w:spacing w:val="-16"/>
        </w:rPr>
        <w:t xml:space="preserve"> </w:t>
      </w:r>
      <w:r>
        <w:rPr>
          <w:color w:val="231F20"/>
          <w:spacing w:val="14"/>
        </w:rPr>
        <w:t>，累计已有3万多名来自全国各大金融机构的从业人员参加</w:t>
      </w:r>
      <w:r>
        <w:rPr>
          <w:color w:val="231F20"/>
        </w:rPr>
        <w:t>FRR</w:t>
      </w:r>
      <w:r>
        <w:rPr>
          <w:color w:val="231F20"/>
          <w:spacing w:val="14"/>
        </w:rPr>
        <w:t xml:space="preserve"> 考试。该证书为中文机考</w:t>
      </w:r>
      <w:r>
        <w:rPr>
          <w:color w:val="231F20"/>
        </w:rPr>
        <w:t xml:space="preserve"> </w:t>
      </w:r>
      <w:r>
        <w:rPr>
          <w:color w:val="231F20"/>
          <w:spacing w:val="12"/>
        </w:rPr>
        <w:t>,  主要考察银行风险识别、计量与管理的基本知识</w:t>
      </w:r>
      <w:r>
        <w:rPr>
          <w:color w:val="231F20"/>
          <w:spacing w:val="-10"/>
        </w:rPr>
        <w:t xml:space="preserve"> </w:t>
      </w:r>
      <w:r>
        <w:rPr>
          <w:color w:val="231F20"/>
          <w:spacing w:val="12"/>
        </w:rPr>
        <w:t>，</w:t>
      </w:r>
      <w:r>
        <w:rPr>
          <w:color w:val="231F20"/>
          <w:spacing w:val="-38"/>
        </w:rPr>
        <w:t xml:space="preserve"> </w:t>
      </w:r>
      <w:r>
        <w:rPr>
          <w:color w:val="231F20"/>
          <w:spacing w:val="12"/>
        </w:rPr>
        <w:t>以及对《巴塞尔新资本协议》</w:t>
      </w:r>
      <w:r>
        <w:rPr>
          <w:color w:val="231F20"/>
          <w:spacing w:val="-29"/>
        </w:rPr>
        <w:t xml:space="preserve"> </w:t>
      </w:r>
      <w:r>
        <w:rPr>
          <w:color w:val="231F20"/>
          <w:spacing w:val="12"/>
        </w:rPr>
        <w:t>等监管要求的掌</w:t>
      </w:r>
      <w:r>
        <w:rPr>
          <w:color w:val="231F20"/>
        </w:rPr>
        <w:t xml:space="preserve"> </w:t>
      </w:r>
      <w:r>
        <w:rPr>
          <w:color w:val="231F20"/>
          <w:spacing w:val="14"/>
        </w:rPr>
        <w:t>握。考试内容涉及银行风险与监管基础、</w:t>
      </w:r>
      <w:r>
        <w:rPr>
          <w:color w:val="231F20"/>
          <w:spacing w:val="-38"/>
        </w:rPr>
        <w:t xml:space="preserve"> </w:t>
      </w:r>
      <w:r>
        <w:rPr>
          <w:color w:val="231F20"/>
          <w:spacing w:val="14"/>
        </w:rPr>
        <w:t>市场风险管理、信用风险管理、操作</w:t>
      </w:r>
      <w:r>
        <w:rPr>
          <w:color w:val="231F20"/>
          <w:spacing w:val="13"/>
        </w:rPr>
        <w:t>风险管理、资产负债</w:t>
      </w:r>
      <w:r>
        <w:rPr>
          <w:color w:val="231F20"/>
        </w:rPr>
        <w:t xml:space="preserve"> </w:t>
      </w:r>
      <w:r>
        <w:rPr>
          <w:color w:val="231F20"/>
          <w:spacing w:val="6"/>
        </w:rPr>
        <w:t>风险管理等。</w:t>
      </w:r>
    </w:p>
    <w:p w14:paraId="7A5EA240">
      <w:pPr>
        <w:spacing w:line="241" w:lineRule="auto"/>
        <w:rPr>
          <w:rFonts w:ascii="Arial"/>
          <w:sz w:val="21"/>
        </w:rPr>
      </w:pPr>
    </w:p>
    <w:p w14:paraId="658BC30F">
      <w:pPr>
        <w:spacing w:line="241" w:lineRule="auto"/>
        <w:rPr>
          <w:rFonts w:ascii="Arial"/>
          <w:sz w:val="21"/>
        </w:rPr>
      </w:pPr>
    </w:p>
    <w:p w14:paraId="48723ACE">
      <w:pPr>
        <w:spacing w:line="241" w:lineRule="auto"/>
        <w:rPr>
          <w:rFonts w:ascii="Arial"/>
          <w:sz w:val="21"/>
        </w:rPr>
      </w:pPr>
    </w:p>
    <w:p w14:paraId="7D0DE448">
      <w:pPr>
        <w:pStyle w:val="2"/>
        <w:spacing w:before="86" w:line="220" w:lineRule="auto"/>
        <w:ind w:left="1" w:firstLine="453"/>
      </w:pPr>
      <w:r>
        <w:rPr>
          <w:color w:val="231F20"/>
          <w:spacing w:val="13"/>
        </w:rPr>
        <w:t>自2018年起</w:t>
      </w:r>
      <w:r>
        <w:rPr>
          <w:color w:val="231F20"/>
          <w:spacing w:val="-17"/>
        </w:rPr>
        <w:t xml:space="preserve"> </w:t>
      </w:r>
      <w:r>
        <w:rPr>
          <w:color w:val="231F20"/>
          <w:spacing w:val="13"/>
        </w:rPr>
        <w:t>，参加并通过考试</w:t>
      </w:r>
      <w:r>
        <w:rPr>
          <w:color w:val="231F20"/>
          <w:spacing w:val="-21"/>
        </w:rPr>
        <w:t xml:space="preserve"> </w:t>
      </w:r>
      <w:r>
        <w:rPr>
          <w:color w:val="231F20"/>
          <w:spacing w:val="13"/>
        </w:rPr>
        <w:t>，且满足认证要求的考生可以获得由人社部认证的</w:t>
      </w:r>
      <w:r>
        <w:rPr>
          <w:color w:val="231F20"/>
          <w:spacing w:val="36"/>
        </w:rPr>
        <w:t xml:space="preserve"> </w:t>
      </w:r>
      <w:r>
        <w:rPr>
          <w:color w:val="231F20"/>
        </w:rPr>
        <w:t>FRR</w:t>
      </w:r>
      <w:r>
        <w:rPr>
          <w:color w:val="231F20"/>
          <w:spacing w:val="13"/>
        </w:rPr>
        <w:t>证书</w:t>
      </w:r>
      <w:r>
        <w:rPr>
          <w:color w:val="231F20"/>
          <w:spacing w:val="-34"/>
        </w:rPr>
        <w:t xml:space="preserve"> </w:t>
      </w:r>
      <w:r>
        <w:rPr>
          <w:color w:val="231F20"/>
          <w:spacing w:val="13"/>
        </w:rPr>
        <w:t>。</w:t>
      </w:r>
      <w:r>
        <w:rPr>
          <w:color w:val="231F20"/>
        </w:rPr>
        <w:t xml:space="preserve"> </w:t>
      </w:r>
      <w:r>
        <w:rPr>
          <w:color w:val="231F20"/>
          <w:spacing w:val="12"/>
        </w:rPr>
        <w:t>证书的相关信息可以在中华人民共和国人力资源和社会保障部国外职业资格</w:t>
      </w:r>
      <w:r>
        <w:rPr>
          <w:color w:val="231F20"/>
          <w:spacing w:val="41"/>
        </w:rPr>
        <w:t xml:space="preserve"> </w:t>
      </w:r>
      <w:r>
        <w:rPr>
          <w:color w:val="231F20"/>
          <w:spacing w:val="12"/>
        </w:rPr>
        <w:t>证书查询平台（</w:t>
      </w:r>
      <w:r>
        <w:fldChar w:fldCharType="begin"/>
      </w:r>
      <w:r>
        <w:instrText xml:space="preserve"> HYPERLINK "http://gjzs.osta.org" </w:instrText>
      </w:r>
      <w:r>
        <w:fldChar w:fldCharType="separate"/>
      </w:r>
      <w:r>
        <w:rPr>
          <w:color w:val="231F20"/>
        </w:rPr>
        <w:t>http</w:t>
      </w:r>
      <w:r>
        <w:rPr>
          <w:color w:val="231F20"/>
          <w:spacing w:val="12"/>
        </w:rPr>
        <w:t>://</w:t>
      </w:r>
      <w:r>
        <w:rPr>
          <w:color w:val="231F20"/>
          <w:spacing w:val="12"/>
        </w:rPr>
        <w:fldChar w:fldCharType="end"/>
      </w:r>
      <w:r>
        <w:rPr>
          <w:color w:val="231F20"/>
        </w:rPr>
        <w:t xml:space="preserve"> </w:t>
      </w:r>
      <w:r>
        <w:fldChar w:fldCharType="begin"/>
      </w:r>
      <w:r>
        <w:instrText xml:space="preserve"> HYPERLINK "http://gjzs.osta.org" </w:instrText>
      </w:r>
      <w:r>
        <w:fldChar w:fldCharType="separate"/>
      </w:r>
      <w:r>
        <w:rPr>
          <w:color w:val="231F20"/>
          <w:spacing w:val="-11"/>
        </w:rPr>
        <w:t>gjzs.osta.org</w:t>
      </w:r>
      <w:r>
        <w:rPr>
          <w:color w:val="231F20"/>
          <w:spacing w:val="-11"/>
        </w:rPr>
        <w:fldChar w:fldCharType="end"/>
      </w:r>
      <w:r>
        <w:rPr>
          <w:color w:val="231F20"/>
          <w:spacing w:val="-11"/>
        </w:rPr>
        <w:t>.cn</w:t>
      </w:r>
      <w:r>
        <w:rPr>
          <w:rFonts w:hint="eastAsia"/>
          <w:color w:val="231F20"/>
          <w:spacing w:val="-11"/>
          <w:lang w:eastAsia="zh-CN"/>
        </w:rPr>
        <w:t>）</w:t>
      </w:r>
      <w:r>
        <w:rPr>
          <w:color w:val="231F20"/>
          <w:spacing w:val="-11"/>
        </w:rPr>
        <w:t>查询。</w:t>
      </w:r>
    </w:p>
    <w:p w14:paraId="35A6C3ED">
      <w:pPr>
        <w:spacing w:before="32"/>
      </w:pPr>
    </w:p>
    <w:p w14:paraId="10230D76">
      <w:pPr>
        <w:spacing w:before="32"/>
      </w:pPr>
    </w:p>
    <w:p w14:paraId="445E8F3C">
      <w:pPr>
        <w:spacing w:before="32"/>
      </w:pPr>
    </w:p>
    <w:p w14:paraId="251A3DF7">
      <w:pPr>
        <w:spacing w:before="32"/>
      </w:pPr>
    </w:p>
    <w:p w14:paraId="79D867ED">
      <w:pPr>
        <w:spacing w:before="32"/>
      </w:pPr>
    </w:p>
    <w:p w14:paraId="27664FA6">
      <w:pPr>
        <w:spacing w:before="32"/>
      </w:pPr>
    </w:p>
    <w:p w14:paraId="1B448DB1">
      <w:pPr>
        <w:sectPr>
          <w:footerReference r:id="rId7" w:type="default"/>
          <w:pgSz w:w="10660" w:h="15081"/>
          <w:pgMar w:top="1246" w:right="699" w:bottom="36" w:left="721" w:header="0" w:footer="0" w:gutter="0"/>
          <w:cols w:equalWidth="0" w:num="1">
            <w:col w:w="9239"/>
          </w:cols>
        </w:sectPr>
      </w:pPr>
    </w:p>
    <w:p w14:paraId="5E9190D8">
      <w:pPr>
        <w:pStyle w:val="2"/>
        <w:spacing w:before="194" w:line="179" w:lineRule="auto"/>
        <w:ind w:left="449"/>
        <w:rPr>
          <w:sz w:val="38"/>
          <w:szCs w:val="38"/>
        </w:rPr>
      </w:pPr>
      <w:r>
        <w:drawing>
          <wp:anchor distT="0" distB="0" distL="0" distR="0" simplePos="0" relativeHeight="251660288" behindDoc="0" locked="0" layoutInCell="1" allowOverlap="1">
            <wp:simplePos x="0" y="0"/>
            <wp:positionH relativeFrom="column">
              <wp:posOffset>1374140</wp:posOffset>
            </wp:positionH>
            <wp:positionV relativeFrom="paragraph">
              <wp:posOffset>153035</wp:posOffset>
            </wp:positionV>
            <wp:extent cx="6350" cy="205740"/>
            <wp:effectExtent l="0" t="0" r="0" b="0"/>
            <wp:wrapNone/>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33"/>
                    <a:stretch>
                      <a:fillRect/>
                    </a:stretch>
                  </pic:blipFill>
                  <pic:spPr>
                    <a:xfrm>
                      <a:off x="0" y="0"/>
                      <a:ext cx="6350" cy="205739"/>
                    </a:xfrm>
                    <a:prstGeom prst="rect">
                      <a:avLst/>
                    </a:prstGeom>
                  </pic:spPr>
                </pic:pic>
              </a:graphicData>
            </a:graphic>
          </wp:anchor>
        </w:drawing>
      </w:r>
      <w:r>
        <w:rPr>
          <w:color w:val="05152E"/>
          <w:position w:val="-11"/>
          <w:sz w:val="38"/>
          <w:szCs w:val="38"/>
        </w:rPr>
        <w:drawing>
          <wp:inline distT="0" distB="0" distL="0" distR="0">
            <wp:extent cx="287655" cy="26162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34"/>
                    <a:stretch>
                      <a:fillRect/>
                    </a:stretch>
                  </pic:blipFill>
                  <pic:spPr>
                    <a:xfrm>
                      <a:off x="0" y="0"/>
                      <a:ext cx="288036" cy="262127"/>
                    </a:xfrm>
                    <a:prstGeom prst="rect">
                      <a:avLst/>
                    </a:prstGeom>
                  </pic:spPr>
                </pic:pic>
              </a:graphicData>
            </a:graphic>
          </wp:inline>
        </w:drawing>
      </w:r>
      <w:r>
        <w:rPr>
          <w:color w:val="05152E"/>
          <w:sz w:val="38"/>
          <w:szCs w:val="38"/>
        </w:rPr>
        <w:t>GAR</w:t>
      </w:r>
      <w:r>
        <w:rPr>
          <w:color w:val="05152E"/>
          <w:spacing w:val="22"/>
          <w:sz w:val="38"/>
          <w:szCs w:val="38"/>
        </w:rPr>
        <w:t xml:space="preserve"> </w:t>
      </w:r>
      <w:r>
        <w:rPr>
          <w:color w:val="05152E"/>
          <w:sz w:val="38"/>
          <w:szCs w:val="38"/>
        </w:rPr>
        <w:t>P</w:t>
      </w:r>
    </w:p>
    <w:p w14:paraId="003E783E">
      <w:pPr>
        <w:spacing w:line="20" w:lineRule="exact"/>
      </w:pPr>
    </w:p>
    <w:p w14:paraId="18FDBA27">
      <w:pPr>
        <w:spacing w:line="14" w:lineRule="auto"/>
        <w:rPr>
          <w:rFonts w:ascii="Arial"/>
          <w:sz w:val="2"/>
        </w:rPr>
      </w:pPr>
      <w:r>
        <w:rPr>
          <w:rFonts w:ascii="Arial" w:hAnsi="Arial" w:eastAsia="Arial" w:cs="Arial"/>
          <w:sz w:val="2"/>
          <w:szCs w:val="2"/>
        </w:rPr>
        <w:br w:type="column"/>
      </w:r>
    </w:p>
    <w:p w14:paraId="5B2D3B6F">
      <w:pPr>
        <w:pStyle w:val="2"/>
        <w:spacing w:before="130" w:line="282" w:lineRule="auto"/>
        <w:ind w:left="1" w:right="104" w:hanging="1"/>
        <w:rPr>
          <w:sz w:val="10"/>
          <w:szCs w:val="10"/>
        </w:rPr>
      </w:pPr>
      <w:r>
        <w:rPr>
          <w:color w:val="05152E"/>
          <w:spacing w:val="8"/>
          <w:sz w:val="12"/>
          <w:szCs w:val="12"/>
        </w:rPr>
        <w:t>Global</w:t>
      </w:r>
      <w:r>
        <w:rPr>
          <w:color w:val="05152E"/>
          <w:spacing w:val="4"/>
          <w:sz w:val="12"/>
          <w:szCs w:val="12"/>
        </w:rPr>
        <w:t xml:space="preserve">  </w:t>
      </w:r>
      <w:r>
        <w:rPr>
          <w:color w:val="05152E"/>
          <w:spacing w:val="8"/>
          <w:sz w:val="12"/>
          <w:szCs w:val="12"/>
        </w:rPr>
        <w:t>Association</w:t>
      </w:r>
      <w:r>
        <w:rPr>
          <w:color w:val="05152E"/>
          <w:sz w:val="12"/>
          <w:szCs w:val="12"/>
        </w:rPr>
        <w:t xml:space="preserve">    </w:t>
      </w:r>
      <w:r>
        <w:rPr>
          <w:color w:val="05152E"/>
          <w:spacing w:val="12"/>
          <w:w w:val="103"/>
          <w:sz w:val="10"/>
          <w:szCs w:val="10"/>
        </w:rPr>
        <w:t>of  Risk</w:t>
      </w:r>
      <w:r>
        <w:rPr>
          <w:color w:val="05152E"/>
          <w:spacing w:val="8"/>
          <w:w w:val="102"/>
          <w:sz w:val="10"/>
          <w:szCs w:val="10"/>
        </w:rPr>
        <w:t xml:space="preserve">  </w:t>
      </w:r>
      <w:r>
        <w:rPr>
          <w:color w:val="05152E"/>
          <w:spacing w:val="12"/>
          <w:w w:val="103"/>
          <w:sz w:val="10"/>
          <w:szCs w:val="10"/>
        </w:rPr>
        <w:t>professiona</w:t>
      </w:r>
      <w:r>
        <w:rPr>
          <w:color w:val="05152E"/>
          <w:spacing w:val="-9"/>
          <w:sz w:val="10"/>
          <w:szCs w:val="10"/>
        </w:rPr>
        <w:t xml:space="preserve"> </w:t>
      </w:r>
      <w:r>
        <w:rPr>
          <w:color w:val="05152E"/>
          <w:spacing w:val="12"/>
          <w:w w:val="103"/>
          <w:sz w:val="10"/>
          <w:szCs w:val="10"/>
        </w:rPr>
        <w:t>ls</w:t>
      </w:r>
    </w:p>
    <w:p w14:paraId="40C1C663">
      <w:pPr>
        <w:spacing w:line="14" w:lineRule="auto"/>
        <w:rPr>
          <w:rFonts w:ascii="Arial"/>
          <w:sz w:val="2"/>
        </w:rPr>
      </w:pPr>
      <w:r>
        <w:rPr>
          <w:rFonts w:ascii="Arial" w:hAnsi="Arial" w:eastAsia="Arial" w:cs="Arial"/>
          <w:sz w:val="2"/>
          <w:szCs w:val="2"/>
        </w:rPr>
        <w:br w:type="column"/>
      </w:r>
    </w:p>
    <w:p w14:paraId="516FF6F5">
      <w:pPr>
        <w:spacing w:before="83" w:line="408" w:lineRule="exact"/>
      </w:pPr>
      <w:r>
        <w:rPr>
          <w:position w:val="-8"/>
        </w:rPr>
        <w:drawing>
          <wp:inline distT="0" distB="0" distL="0" distR="0">
            <wp:extent cx="682625" cy="25908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35"/>
                    <a:stretch>
                      <a:fillRect/>
                    </a:stretch>
                  </pic:blipFill>
                  <pic:spPr>
                    <a:xfrm>
                      <a:off x="0" y="0"/>
                      <a:ext cx="682751" cy="259080"/>
                    </a:xfrm>
                    <a:prstGeom prst="rect">
                      <a:avLst/>
                    </a:prstGeom>
                  </pic:spPr>
                </pic:pic>
              </a:graphicData>
            </a:graphic>
          </wp:inline>
        </w:drawing>
      </w:r>
    </w:p>
    <w:p w14:paraId="6C777C15">
      <w:pPr>
        <w:spacing w:line="14" w:lineRule="auto"/>
        <w:rPr>
          <w:rFonts w:ascii="Arial"/>
          <w:sz w:val="2"/>
        </w:rPr>
      </w:pPr>
      <w:r>
        <w:rPr>
          <w:rFonts w:ascii="Arial" w:hAnsi="Arial" w:eastAsia="Arial" w:cs="Arial"/>
          <w:sz w:val="2"/>
          <w:szCs w:val="2"/>
        </w:rPr>
        <w:br w:type="column"/>
      </w:r>
    </w:p>
    <w:p w14:paraId="7C1E6D0B">
      <w:pPr>
        <w:pStyle w:val="2"/>
        <w:spacing w:before="229" w:line="192" w:lineRule="auto"/>
        <w:rPr>
          <w:sz w:val="18"/>
          <w:szCs w:val="18"/>
        </w:rPr>
      </w:pPr>
      <w:r>
        <w:rPr>
          <w:color w:val="231F20"/>
          <w:spacing w:val="17"/>
          <w:sz w:val="18"/>
          <w:szCs w:val="18"/>
        </w:rPr>
        <w:t>人力资源和社会保障部职业技能鉴定中心</w:t>
      </w:r>
    </w:p>
    <w:p w14:paraId="5F9F3521">
      <w:pPr>
        <w:spacing w:line="192" w:lineRule="auto"/>
        <w:rPr>
          <w:sz w:val="18"/>
          <w:szCs w:val="18"/>
        </w:rPr>
        <w:sectPr>
          <w:type w:val="continuous"/>
          <w:pgSz w:w="10660" w:h="15081"/>
          <w:pgMar w:top="1246" w:right="699" w:bottom="36" w:left="721" w:header="0" w:footer="0" w:gutter="0"/>
          <w:cols w:equalWidth="0" w:num="4">
            <w:col w:w="2214" w:space="100"/>
            <w:col w:w="1466" w:space="100"/>
            <w:col w:w="1076" w:space="77"/>
            <w:col w:w="4207"/>
          </w:cols>
        </w:sectPr>
      </w:pPr>
    </w:p>
    <w:p w14:paraId="73F8B880">
      <w:pPr>
        <w:spacing w:before="21"/>
      </w:pPr>
    </w:p>
    <w:p w14:paraId="3B2DBD57">
      <w:pPr>
        <w:spacing w:before="20"/>
      </w:pPr>
    </w:p>
    <w:p w14:paraId="311278ED">
      <w:pPr>
        <w:spacing w:before="20"/>
        <w:rPr>
          <w:rFonts w:hint="eastAsia" w:eastAsia="宋体"/>
          <w:lang w:eastAsia="zh-CN"/>
        </w:rPr>
      </w:pPr>
      <w:r>
        <w:rPr>
          <w:rFonts w:hint="eastAsia" w:ascii="微软雅黑" w:hAnsi="微软雅黑" w:eastAsia="微软雅黑" w:cs="微软雅黑"/>
          <w:sz w:val="71"/>
          <w:szCs w:val="71"/>
          <w:lang w:eastAsia="zh-CN"/>
        </w:rPr>
        <w:drawing>
          <wp:anchor distT="0" distB="0" distL="114300" distR="114300" simplePos="0" relativeHeight="251685888" behindDoc="0" locked="0" layoutInCell="1" allowOverlap="1">
            <wp:simplePos x="0" y="0"/>
            <wp:positionH relativeFrom="column">
              <wp:posOffset>-447040</wp:posOffset>
            </wp:positionH>
            <wp:positionV relativeFrom="paragraph">
              <wp:posOffset>217805</wp:posOffset>
            </wp:positionV>
            <wp:extent cx="6795770" cy="384810"/>
            <wp:effectExtent l="0" t="0" r="1270" b="11430"/>
            <wp:wrapNone/>
            <wp:docPr id="1" name="图片 1" descr="文字文稿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文字文稿1_01"/>
                    <pic:cNvPicPr>
                      <a:picLocks noChangeAspect="1"/>
                    </pic:cNvPicPr>
                  </pic:nvPicPr>
                  <pic:blipFill>
                    <a:blip r:embed="rId36">
                      <a:lum contrast="6000"/>
                    </a:blip>
                    <a:srcRect t="96008"/>
                    <a:stretch>
                      <a:fillRect/>
                    </a:stretch>
                  </pic:blipFill>
                  <pic:spPr>
                    <a:xfrm>
                      <a:off x="0" y="0"/>
                      <a:ext cx="6795770" cy="384810"/>
                    </a:xfrm>
                    <a:prstGeom prst="rect">
                      <a:avLst/>
                    </a:prstGeom>
                  </pic:spPr>
                </pic:pic>
              </a:graphicData>
            </a:graphic>
          </wp:anchor>
        </w:drawing>
      </w:r>
    </w:p>
    <w:p w14:paraId="465C0FDC">
      <w:pPr>
        <w:spacing w:before="20"/>
      </w:pPr>
    </w:p>
    <w:p w14:paraId="55FBF26D">
      <w:pPr>
        <w:sectPr>
          <w:type w:val="continuous"/>
          <w:pgSz w:w="10660" w:h="15081"/>
          <w:pgMar w:top="1246" w:right="699" w:bottom="36" w:left="721" w:header="0" w:footer="0" w:gutter="0"/>
          <w:cols w:equalWidth="0" w:num="1">
            <w:col w:w="9239"/>
          </w:cols>
        </w:sectPr>
      </w:pPr>
    </w:p>
    <w:p w14:paraId="386F2A1E">
      <w:pPr>
        <w:spacing w:line="173" w:lineRule="auto"/>
        <w:rPr>
          <w:sz w:val="18"/>
          <w:szCs w:val="18"/>
        </w:rPr>
        <w:sectPr>
          <w:type w:val="continuous"/>
          <w:pgSz w:w="10660" w:h="15081"/>
          <w:pgMar w:top="1246" w:right="699" w:bottom="36" w:left="721" w:header="0" w:footer="0" w:gutter="0"/>
          <w:cols w:equalWidth="0" w:num="3">
            <w:col w:w="5095" w:space="100"/>
            <w:col w:w="1620" w:space="60"/>
            <w:col w:w="2364"/>
          </w:cols>
        </w:sectPr>
      </w:pPr>
    </w:p>
    <w:p w14:paraId="2303F469">
      <w:pPr>
        <w:pStyle w:val="2"/>
        <w:spacing w:before="99" w:line="185" w:lineRule="auto"/>
        <w:ind w:left="6"/>
        <w:rPr>
          <w:sz w:val="49"/>
          <w:szCs w:val="49"/>
        </w:rPr>
      </w:pPr>
      <w:r>
        <w:rPr>
          <w:color w:val="7F7F7F"/>
          <w:spacing w:val="5"/>
          <w:sz w:val="49"/>
          <w:szCs w:val="49"/>
        </w:rPr>
        <w:t>持证优势</w:t>
      </w:r>
    </w:p>
    <w:p w14:paraId="2E261908">
      <w:pPr>
        <w:spacing w:line="387" w:lineRule="auto"/>
        <w:rPr>
          <w:rFonts w:ascii="Arial"/>
          <w:sz w:val="21"/>
        </w:rPr>
      </w:pPr>
    </w:p>
    <w:p w14:paraId="2A514703">
      <w:pPr>
        <w:pStyle w:val="2"/>
        <w:spacing w:line="2127" w:lineRule="exact"/>
      </w:pPr>
      <w:r>
        <mc:AlternateContent>
          <mc:Choice Requires="wps">
            <w:drawing>
              <wp:anchor distT="0" distB="0" distL="0" distR="0" simplePos="0" relativeHeight="251661312" behindDoc="1" locked="0" layoutInCell="1" allowOverlap="1">
                <wp:simplePos x="0" y="0"/>
                <wp:positionH relativeFrom="column">
                  <wp:posOffset>20955</wp:posOffset>
                </wp:positionH>
                <wp:positionV relativeFrom="paragraph">
                  <wp:posOffset>21590</wp:posOffset>
                </wp:positionV>
                <wp:extent cx="4977765" cy="1388745"/>
                <wp:effectExtent l="0" t="0" r="0" b="0"/>
                <wp:wrapNone/>
                <wp:docPr id="22" name="Rect 22"/>
                <wp:cNvGraphicFramePr/>
                <a:graphic xmlns:a="http://schemas.openxmlformats.org/drawingml/2006/main">
                  <a:graphicData uri="http://schemas.microsoft.com/office/word/2010/wordprocessingShape">
                    <wps:wsp>
                      <wps:cNvSpPr/>
                      <wps:spPr>
                        <a:xfrm>
                          <a:off x="21336" y="21725"/>
                          <a:ext cx="4977765" cy="1388744"/>
                        </a:xfrm>
                        <a:prstGeom prst="rect">
                          <a:avLst/>
                        </a:prstGeom>
                        <a:solidFill>
                          <a:srgbClr val="231F20">
                            <a:alpha val="18823"/>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22" o:spid="_x0000_s1026" o:spt="1" style="position:absolute;left:0pt;margin-left:1.65pt;margin-top:1.7pt;height:109.35pt;width:391.95pt;z-index:-251655168;mso-width-relative:page;mso-height-relative:page;" fillcolor="#231F20" filled="t" stroked="f" coordsize="21600,21600" o:gfxdata="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PtqOLUAAAABwEAAA8AAAAAAAAAAQAgAAAAIgAAAGRycy9k&#10;b3ducmV2LnhtbFBLAQIUABQAAAAIAIdO4kBa2n2lPwIAAI4EAAAOAAAAAAAAAAEAIAAAACMBAABk&#10;cnMvZTJvRG9jLnhtbFBLBQYAAAAABgAGAFkBAADUBQAAAAA=&#10;">
                <v:fill on="t" opacity="12335f" focussize="0,0"/>
                <v:stroke on="f" weight="0pt"/>
                <v:imagedata o:title=""/>
                <o:lock v:ext="edit" aspectratio="f"/>
                <v:textbox inset="0mm,0mm,0mm,0mm"/>
              </v:rect>
            </w:pict>
          </mc:Fallback>
        </mc:AlternateContent>
      </w:r>
      <w:r>
        <w:rPr>
          <w:position w:val="-42"/>
        </w:rPr>
        <w:pict>
          <v:shape id="_x0000_s1026" o:spid="_x0000_s1026" o:spt="202" type="#_x0000_t202" style="height:106.35pt;width:389.8pt;" fillcolor="#ECF1F2" filled="t" stroked="f" coordsize="21600,21600">
            <v:path/>
            <v:fill on="t" focussize="0,0"/>
            <v:stroke on="f"/>
            <v:imagedata o:title=""/>
            <o:lock v:ext="edit" aspectratio="f"/>
            <v:textbox inset="0mm,0mm,0mm,0mm">
              <w:txbxContent>
                <w:p w14:paraId="1B9B32D4">
                  <w:pPr>
                    <w:spacing w:before="208"/>
                    <w:ind w:left="232"/>
                    <w:rPr>
                      <w:rFonts w:ascii="微软雅黑" w:hAnsi="微软雅黑" w:eastAsia="微软雅黑" w:cs="微软雅黑"/>
                      <w:sz w:val="20"/>
                      <w:szCs w:val="20"/>
                    </w:rPr>
                  </w:pPr>
                  <w:r>
                    <w:rPr>
                      <w:rFonts w:ascii="微软雅黑" w:hAnsi="微软雅黑" w:eastAsia="微软雅黑" w:cs="微软雅黑"/>
                      <w:color w:val="231F20"/>
                      <w:position w:val="-10"/>
                      <w:sz w:val="20"/>
                      <w:szCs w:val="20"/>
                    </w:rPr>
                    <w:drawing>
                      <wp:inline distT="0" distB="0" distL="0" distR="0">
                        <wp:extent cx="180975" cy="25717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37"/>
                                <a:stretch>
                                  <a:fillRect/>
                                </a:stretch>
                              </pic:blipFill>
                              <pic:spPr>
                                <a:xfrm>
                                  <a:off x="0" y="0"/>
                                  <a:ext cx="181355" cy="257556"/>
                                </a:xfrm>
                                <a:prstGeom prst="rect">
                                  <a:avLst/>
                                </a:prstGeom>
                              </pic:spPr>
                            </pic:pic>
                          </a:graphicData>
                        </a:graphic>
                      </wp:inline>
                    </w:drawing>
                  </w:r>
                  <w:r>
                    <w:rPr>
                      <w:rFonts w:ascii="微软雅黑" w:hAnsi="微软雅黑" w:eastAsia="微软雅黑" w:cs="微软雅黑"/>
                      <w:color w:val="231F20"/>
                      <w:spacing w:val="20"/>
                      <w:w w:val="101"/>
                      <w:sz w:val="20"/>
                      <w:szCs w:val="20"/>
                    </w:rPr>
                    <w:t xml:space="preserve">   </w:t>
                  </w:r>
                  <w:r>
                    <w:rPr>
                      <w:rFonts w:ascii="微软雅黑" w:hAnsi="微软雅黑" w:eastAsia="微软雅黑" w:cs="微软雅黑"/>
                      <w:color w:val="231F20"/>
                      <w:spacing w:val="5"/>
                      <w:sz w:val="20"/>
                      <w:szCs w:val="20"/>
                    </w:rPr>
                    <w:t>国际适用性——由风险从业者开发</w:t>
                  </w:r>
                  <w:r>
                    <w:rPr>
                      <w:rFonts w:ascii="微软雅黑" w:hAnsi="微软雅黑" w:eastAsia="微软雅黑" w:cs="微软雅黑"/>
                      <w:color w:val="231F20"/>
                      <w:spacing w:val="-30"/>
                      <w:sz w:val="20"/>
                      <w:szCs w:val="20"/>
                    </w:rPr>
                    <w:t xml:space="preserve"> </w:t>
                  </w:r>
                  <w:r>
                    <w:rPr>
                      <w:rFonts w:ascii="微软雅黑" w:hAnsi="微软雅黑" w:eastAsia="微软雅黑" w:cs="微软雅黑"/>
                      <w:color w:val="231F20"/>
                      <w:spacing w:val="5"/>
                      <w:sz w:val="20"/>
                      <w:szCs w:val="20"/>
                    </w:rPr>
                    <w:t>，反映前沿国际标准</w:t>
                  </w:r>
                </w:p>
                <w:p w14:paraId="295FFC0C">
                  <w:pPr>
                    <w:spacing w:before="199"/>
                    <w:ind w:left="232"/>
                    <w:rPr>
                      <w:rFonts w:ascii="微软雅黑" w:hAnsi="微软雅黑" w:eastAsia="微软雅黑" w:cs="微软雅黑"/>
                      <w:sz w:val="20"/>
                      <w:szCs w:val="20"/>
                    </w:rPr>
                  </w:pPr>
                  <w:r>
                    <w:rPr>
                      <w:rFonts w:ascii="微软雅黑" w:hAnsi="微软雅黑" w:eastAsia="微软雅黑" w:cs="微软雅黑"/>
                      <w:color w:val="231F20"/>
                      <w:position w:val="-7"/>
                      <w:sz w:val="20"/>
                      <w:szCs w:val="20"/>
                    </w:rPr>
                    <w:drawing>
                      <wp:inline distT="0" distB="0" distL="0" distR="0">
                        <wp:extent cx="180975" cy="25717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38"/>
                                <a:stretch>
                                  <a:fillRect/>
                                </a:stretch>
                              </pic:blipFill>
                              <pic:spPr>
                                <a:xfrm>
                                  <a:off x="0" y="0"/>
                                  <a:ext cx="181355" cy="257556"/>
                                </a:xfrm>
                                <a:prstGeom prst="rect">
                                  <a:avLst/>
                                </a:prstGeom>
                              </pic:spPr>
                            </pic:pic>
                          </a:graphicData>
                        </a:graphic>
                      </wp:inline>
                    </w:drawing>
                  </w:r>
                  <w:r>
                    <w:rPr>
                      <w:rFonts w:ascii="微软雅黑" w:hAnsi="微软雅黑" w:eastAsia="微软雅黑" w:cs="微软雅黑"/>
                      <w:color w:val="231F20"/>
                      <w:spacing w:val="16"/>
                      <w:w w:val="101"/>
                      <w:sz w:val="20"/>
                      <w:szCs w:val="20"/>
                    </w:rPr>
                    <w:t xml:space="preserve">   </w:t>
                  </w:r>
                  <w:r>
                    <w:rPr>
                      <w:rFonts w:ascii="微软雅黑" w:hAnsi="微软雅黑" w:eastAsia="微软雅黑" w:cs="微软雅黑"/>
                      <w:color w:val="231F20"/>
                      <w:spacing w:val="6"/>
                      <w:sz w:val="20"/>
                      <w:szCs w:val="20"/>
                    </w:rPr>
                    <w:t>实务性——教材关联实际工作场景</w:t>
                  </w:r>
                  <w:r>
                    <w:rPr>
                      <w:rFonts w:ascii="微软雅黑" w:hAnsi="微软雅黑" w:eastAsia="微软雅黑" w:cs="微软雅黑"/>
                      <w:color w:val="231F20"/>
                      <w:spacing w:val="-27"/>
                      <w:sz w:val="20"/>
                      <w:szCs w:val="20"/>
                    </w:rPr>
                    <w:t xml:space="preserve"> </w:t>
                  </w:r>
                  <w:r>
                    <w:rPr>
                      <w:rFonts w:ascii="微软雅黑" w:hAnsi="微软雅黑" w:eastAsia="微软雅黑" w:cs="微软雅黑"/>
                      <w:color w:val="231F20"/>
                      <w:spacing w:val="6"/>
                      <w:sz w:val="20"/>
                      <w:szCs w:val="20"/>
                    </w:rPr>
                    <w:t>，包含真实案例分析</w:t>
                  </w:r>
                </w:p>
                <w:p w14:paraId="16DB5B2C">
                  <w:pPr>
                    <w:spacing w:before="179"/>
                    <w:ind w:left="230"/>
                    <w:rPr>
                      <w:rFonts w:ascii="微软雅黑" w:hAnsi="微软雅黑" w:eastAsia="微软雅黑" w:cs="微软雅黑"/>
                      <w:sz w:val="20"/>
                      <w:szCs w:val="20"/>
                    </w:rPr>
                  </w:pPr>
                  <w:r>
                    <w:rPr>
                      <w:rFonts w:ascii="微软雅黑" w:hAnsi="微软雅黑" w:eastAsia="微软雅黑" w:cs="微软雅黑"/>
                      <w:color w:val="231F20"/>
                      <w:position w:val="-8"/>
                      <w:sz w:val="20"/>
                      <w:szCs w:val="20"/>
                    </w:rPr>
                    <w:drawing>
                      <wp:inline distT="0" distB="0" distL="0" distR="0">
                        <wp:extent cx="180975" cy="25717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39"/>
                                <a:stretch>
                                  <a:fillRect/>
                                </a:stretch>
                              </pic:blipFill>
                              <pic:spPr>
                                <a:xfrm>
                                  <a:off x="0" y="0"/>
                                  <a:ext cx="181355" cy="257556"/>
                                </a:xfrm>
                                <a:prstGeom prst="rect">
                                  <a:avLst/>
                                </a:prstGeom>
                              </pic:spPr>
                            </pic:pic>
                          </a:graphicData>
                        </a:graphic>
                      </wp:inline>
                    </w:drawing>
                  </w:r>
                  <w:r>
                    <w:rPr>
                      <w:rFonts w:ascii="微软雅黑" w:hAnsi="微软雅黑" w:eastAsia="微软雅黑" w:cs="微软雅黑"/>
                      <w:color w:val="231F20"/>
                      <w:spacing w:val="12"/>
                      <w:sz w:val="20"/>
                      <w:szCs w:val="20"/>
                    </w:rPr>
                    <w:t xml:space="preserve">   </w:t>
                  </w:r>
                  <w:r>
                    <w:rPr>
                      <w:rFonts w:ascii="微软雅黑" w:hAnsi="微软雅黑" w:eastAsia="微软雅黑" w:cs="微软雅黑"/>
                      <w:color w:val="231F20"/>
                      <w:spacing w:val="4"/>
                      <w:sz w:val="20"/>
                      <w:szCs w:val="20"/>
                    </w:rPr>
                    <w:t>权威性——全球风险管理专业人士协会颁证</w:t>
                  </w:r>
                  <w:r>
                    <w:rPr>
                      <w:rFonts w:ascii="微软雅黑" w:hAnsi="微软雅黑" w:eastAsia="微软雅黑" w:cs="微软雅黑"/>
                      <w:color w:val="231F20"/>
                      <w:spacing w:val="-28"/>
                      <w:sz w:val="20"/>
                      <w:szCs w:val="20"/>
                    </w:rPr>
                    <w:t xml:space="preserve"> </w:t>
                  </w:r>
                  <w:r>
                    <w:rPr>
                      <w:rFonts w:ascii="微软雅黑" w:hAnsi="微软雅黑" w:eastAsia="微软雅黑" w:cs="微软雅黑"/>
                      <w:color w:val="231F20"/>
                      <w:spacing w:val="4"/>
                      <w:sz w:val="20"/>
                      <w:szCs w:val="20"/>
                    </w:rPr>
                    <w:t>，人力资源和社会保障部认证</w:t>
                  </w:r>
                </w:p>
              </w:txbxContent>
            </v:textbox>
            <w10:wrap type="none"/>
            <w10:anchorlock/>
          </v:shape>
        </w:pict>
      </w:r>
    </w:p>
    <w:p w14:paraId="7CAF0931">
      <w:pPr>
        <w:spacing w:line="313" w:lineRule="auto"/>
        <w:rPr>
          <w:rFonts w:ascii="Arial"/>
          <w:sz w:val="21"/>
        </w:rPr>
      </w:pPr>
    </w:p>
    <w:p w14:paraId="345B6031">
      <w:pPr>
        <w:spacing w:line="314" w:lineRule="auto"/>
        <w:rPr>
          <w:rFonts w:ascii="Arial"/>
          <w:sz w:val="21"/>
        </w:rPr>
      </w:pPr>
    </w:p>
    <w:p w14:paraId="6BA2B94B">
      <w:pPr>
        <w:pStyle w:val="2"/>
        <w:spacing w:before="210" w:line="185" w:lineRule="auto"/>
        <w:ind w:left="5"/>
        <w:rPr>
          <w:sz w:val="49"/>
          <w:szCs w:val="49"/>
        </w:rPr>
      </w:pPr>
      <w:r>
        <w:rPr>
          <w:color w:val="7F7F7F"/>
          <w:spacing w:val="6"/>
          <w:sz w:val="49"/>
          <w:szCs w:val="49"/>
        </w:rPr>
        <w:t>考试概况</w:t>
      </w:r>
    </w:p>
    <w:p w14:paraId="6D4FD56B">
      <w:pPr>
        <w:pStyle w:val="2"/>
        <w:spacing w:before="187" w:line="189" w:lineRule="auto"/>
        <w:ind w:left="3"/>
      </w:pPr>
      <w:r>
        <w:rPr>
          <w:color w:val="231F20"/>
          <w:spacing w:val="7"/>
          <w:u w:val="single" w:color="auto"/>
        </w:rPr>
        <w:t>证书中文名称</w:t>
      </w:r>
    </w:p>
    <w:p w14:paraId="6D75E723">
      <w:pPr>
        <w:pStyle w:val="2"/>
        <w:spacing w:before="111" w:line="189" w:lineRule="auto"/>
        <w:ind w:left="1"/>
      </w:pPr>
      <w:r>
        <w:rPr>
          <w:color w:val="231F20"/>
          <w:spacing w:val="8"/>
        </w:rPr>
        <w:t>金融风险与监管证书</w:t>
      </w:r>
    </w:p>
    <w:p w14:paraId="0ABA12D9">
      <w:pPr>
        <w:spacing w:line="430" w:lineRule="auto"/>
        <w:rPr>
          <w:rFonts w:ascii="Arial"/>
          <w:sz w:val="21"/>
        </w:rPr>
      </w:pPr>
    </w:p>
    <w:p w14:paraId="7B965276">
      <w:pPr>
        <w:pStyle w:val="2"/>
        <w:spacing w:before="86" w:line="189" w:lineRule="auto"/>
        <w:ind w:left="3"/>
      </w:pPr>
      <w:r>
        <w:rPr>
          <w:color w:val="231F20"/>
          <w:spacing w:val="7"/>
          <w:u w:val="single" w:color="auto"/>
        </w:rPr>
        <w:t>证书英文名称</w:t>
      </w:r>
    </w:p>
    <w:p w14:paraId="07056EC2">
      <w:pPr>
        <w:pStyle w:val="2"/>
        <w:spacing w:before="51" w:line="217" w:lineRule="auto"/>
        <w:ind w:left="20"/>
      </w:pPr>
      <w:r>
        <w:rPr>
          <w:color w:val="231F20"/>
        </w:rPr>
        <w:t>Financial</w:t>
      </w:r>
      <w:r>
        <w:rPr>
          <w:color w:val="231F20"/>
          <w:spacing w:val="37"/>
          <w:w w:val="101"/>
        </w:rPr>
        <w:t xml:space="preserve"> </w:t>
      </w:r>
      <w:r>
        <w:rPr>
          <w:color w:val="231F20"/>
        </w:rPr>
        <w:t>Risk</w:t>
      </w:r>
      <w:r>
        <w:rPr>
          <w:color w:val="231F20"/>
          <w:spacing w:val="30"/>
          <w:w w:val="101"/>
        </w:rPr>
        <w:t xml:space="preserve"> </w:t>
      </w:r>
      <w:r>
        <w:rPr>
          <w:color w:val="231F20"/>
        </w:rPr>
        <w:t>and</w:t>
      </w:r>
      <w:r>
        <w:rPr>
          <w:color w:val="231F20"/>
          <w:spacing w:val="41"/>
        </w:rPr>
        <w:t xml:space="preserve"> </w:t>
      </w:r>
      <w:r>
        <w:rPr>
          <w:color w:val="231F20"/>
        </w:rPr>
        <w:t>Regulation</w:t>
      </w:r>
      <w:r>
        <w:rPr>
          <w:color w:val="231F20"/>
          <w:spacing w:val="22"/>
        </w:rPr>
        <w:t xml:space="preserve"> </w:t>
      </w:r>
      <w:r>
        <w:rPr>
          <w:color w:val="231F20"/>
          <w:spacing w:val="41"/>
        </w:rPr>
        <w:t>英文简称</w:t>
      </w:r>
      <w:r>
        <w:rPr>
          <w:color w:val="231F20"/>
        </w:rPr>
        <w:t>FRR</w:t>
      </w:r>
    </w:p>
    <w:p w14:paraId="7443640C">
      <w:pPr>
        <w:spacing w:line="460" w:lineRule="auto"/>
        <w:rPr>
          <w:rFonts w:ascii="Arial"/>
          <w:sz w:val="21"/>
        </w:rPr>
      </w:pPr>
    </w:p>
    <w:p w14:paraId="508461DD">
      <w:pPr>
        <w:pStyle w:val="2"/>
        <w:spacing w:before="86" w:line="189" w:lineRule="auto"/>
        <w:ind w:left="3"/>
      </w:pPr>
      <w:r>
        <w:rPr>
          <w:color w:val="231F20"/>
          <w:spacing w:val="7"/>
          <w:u w:val="single" w:color="auto"/>
        </w:rPr>
        <w:t>证书颁发机构</w:t>
      </w:r>
    </w:p>
    <w:p w14:paraId="5936231D">
      <w:pPr>
        <w:pStyle w:val="2"/>
        <w:spacing w:before="67" w:line="229" w:lineRule="auto"/>
        <w:ind w:left="2"/>
      </w:pPr>
      <w:r>
        <w:rPr>
          <w:color w:val="231F20"/>
          <w:spacing w:val="12"/>
        </w:rPr>
        <w:t>全球风险管理专业人士协会（</w:t>
      </w:r>
      <w:r>
        <w:rPr>
          <w:color w:val="231F20"/>
          <w:spacing w:val="-13"/>
        </w:rPr>
        <w:t xml:space="preserve"> </w:t>
      </w:r>
      <w:r>
        <w:rPr>
          <w:color w:val="231F20"/>
        </w:rPr>
        <w:t>GARP</w:t>
      </w:r>
      <w:r>
        <w:rPr>
          <w:color w:val="231F20"/>
          <w:spacing w:val="12"/>
        </w:rPr>
        <w:t>）</w:t>
      </w:r>
    </w:p>
    <w:p w14:paraId="142141B9">
      <w:pPr>
        <w:spacing w:line="467" w:lineRule="auto"/>
        <w:rPr>
          <w:rFonts w:ascii="Arial"/>
          <w:sz w:val="21"/>
        </w:rPr>
      </w:pPr>
    </w:p>
    <w:p w14:paraId="0367630E">
      <w:pPr>
        <w:pStyle w:val="2"/>
        <w:spacing w:before="87" w:line="263" w:lineRule="auto"/>
        <w:ind w:left="16" w:right="7353" w:hanging="14"/>
      </w:pPr>
      <w:r>
        <w:rPr>
          <w:color w:val="231F20"/>
          <w:spacing w:val="7"/>
          <w:u w:val="single" w:color="auto"/>
        </w:rPr>
        <w:t>考试语言</w:t>
      </w:r>
      <w:r>
        <w:rPr>
          <w:color w:val="231F20"/>
        </w:rPr>
        <w:t xml:space="preserve"> </w:t>
      </w:r>
      <w:r>
        <w:rPr>
          <w:color w:val="231F20"/>
          <w:spacing w:val="-3"/>
        </w:rPr>
        <w:t>中文</w:t>
      </w:r>
    </w:p>
    <w:p w14:paraId="325763F9">
      <w:pPr>
        <w:spacing w:line="310" w:lineRule="auto"/>
        <w:rPr>
          <w:rFonts w:ascii="Arial"/>
          <w:sz w:val="21"/>
        </w:rPr>
      </w:pPr>
    </w:p>
    <w:p w14:paraId="5CCF7747">
      <w:pPr>
        <w:pStyle w:val="2"/>
        <w:spacing w:before="85" w:line="189" w:lineRule="auto"/>
        <w:ind w:left="2"/>
      </w:pPr>
      <w:r>
        <w:rPr>
          <w:color w:val="231F20"/>
          <w:spacing w:val="7"/>
          <w:u w:val="single" w:color="auto"/>
        </w:rPr>
        <w:t>考试对象</w:t>
      </w:r>
    </w:p>
    <w:p w14:paraId="044F96A5">
      <w:pPr>
        <w:pStyle w:val="2"/>
        <w:spacing w:before="71" w:line="223" w:lineRule="auto"/>
        <w:ind w:left="21"/>
      </w:pPr>
      <w:r>
        <w:rPr>
          <w:color w:val="231F20"/>
          <w:spacing w:val="2"/>
        </w:rPr>
        <w:t>1.银行从业人员</w:t>
      </w:r>
    </w:p>
    <w:p w14:paraId="23C795FD">
      <w:pPr>
        <w:pStyle w:val="2"/>
        <w:spacing w:before="1" w:line="229" w:lineRule="auto"/>
        <w:ind w:left="12"/>
      </w:pPr>
      <w:r>
        <w:rPr>
          <w:color w:val="231F20"/>
          <w:spacing w:val="7"/>
        </w:rPr>
        <w:t>2.</w:t>
      </w:r>
      <w:r>
        <w:rPr>
          <w:rFonts w:hint="eastAsia"/>
          <w:color w:val="231F20"/>
          <w:spacing w:val="7"/>
          <w:lang w:eastAsia="zh-CN"/>
        </w:rPr>
        <w:t>其他</w:t>
      </w:r>
      <w:r>
        <w:rPr>
          <w:color w:val="231F20"/>
          <w:spacing w:val="7"/>
        </w:rPr>
        <w:t>金融机构从业人员</w:t>
      </w:r>
      <w:r>
        <w:rPr>
          <w:color w:val="231F20"/>
          <w:spacing w:val="-26"/>
        </w:rPr>
        <w:t xml:space="preserve"> </w:t>
      </w:r>
      <w:r>
        <w:rPr>
          <w:color w:val="231F20"/>
          <w:spacing w:val="7"/>
        </w:rPr>
        <w:t>，包括保险、证券、投资、理</w:t>
      </w:r>
      <w:r>
        <w:rPr>
          <w:color w:val="231F20"/>
          <w:spacing w:val="6"/>
        </w:rPr>
        <w:t>财、</w:t>
      </w:r>
      <w:r>
        <w:rPr>
          <w:color w:val="231F20"/>
          <w:spacing w:val="-33"/>
        </w:rPr>
        <w:t xml:space="preserve"> </w:t>
      </w:r>
      <w:r>
        <w:rPr>
          <w:color w:val="231F20"/>
          <w:spacing w:val="6"/>
        </w:rPr>
        <w:t>网银等</w:t>
      </w:r>
    </w:p>
    <w:p w14:paraId="364FC24D">
      <w:pPr>
        <w:pStyle w:val="2"/>
        <w:spacing w:line="228" w:lineRule="auto"/>
        <w:ind w:left="14"/>
      </w:pPr>
      <w:r>
        <w:rPr>
          <w:color w:val="231F20"/>
          <w:spacing w:val="5"/>
        </w:rPr>
        <w:t>3.对于金融风险与监管有浓厚兴趣</w:t>
      </w:r>
      <w:r>
        <w:rPr>
          <w:color w:val="231F20"/>
          <w:spacing w:val="-16"/>
        </w:rPr>
        <w:t xml:space="preserve"> </w:t>
      </w:r>
      <w:r>
        <w:rPr>
          <w:color w:val="231F20"/>
          <w:spacing w:val="5"/>
        </w:rPr>
        <w:t>，或希望从事金融风险管理与监管工作的人员</w:t>
      </w:r>
    </w:p>
    <w:p w14:paraId="71FD8CD2">
      <w:pPr>
        <w:pStyle w:val="2"/>
        <w:spacing w:before="1" w:line="233" w:lineRule="auto"/>
        <w:ind w:left="1"/>
      </w:pPr>
      <w:r>
        <w:rPr>
          <w:color w:val="231F20"/>
          <w:spacing w:val="8"/>
        </w:rPr>
        <w:t>4.金融专业的在校学生</w:t>
      </w:r>
    </w:p>
    <w:p w14:paraId="7EC25D45">
      <w:pPr>
        <w:spacing w:line="408" w:lineRule="auto"/>
        <w:rPr>
          <w:rFonts w:ascii="Arial"/>
          <w:sz w:val="21"/>
        </w:rPr>
      </w:pPr>
    </w:p>
    <w:p w14:paraId="71CD2D5F">
      <w:pPr>
        <w:pStyle w:val="2"/>
        <w:spacing w:before="87" w:line="189" w:lineRule="auto"/>
        <w:ind w:left="2"/>
      </w:pPr>
      <w:r>
        <w:rPr>
          <w:color w:val="231F20"/>
          <w:spacing w:val="7"/>
          <w:u w:val="single" w:color="auto"/>
        </w:rPr>
        <w:t>考试时间</w:t>
      </w:r>
    </w:p>
    <w:p w14:paraId="431F1D93">
      <w:pPr>
        <w:pStyle w:val="2"/>
        <w:spacing w:before="87" w:line="201" w:lineRule="auto"/>
        <w:ind w:left="2"/>
        <w:rPr>
          <w:sz w:val="22"/>
          <w:szCs w:val="22"/>
        </w:rPr>
      </w:pPr>
      <w:r>
        <w:rPr>
          <w:color w:val="231F20"/>
          <w:spacing w:val="6"/>
        </w:rPr>
        <w:t>全国统考每年春季、秋季（详见</w:t>
      </w:r>
      <w:r>
        <w:rPr>
          <w:color w:val="333333"/>
          <w:sz w:val="22"/>
          <w:szCs w:val="22"/>
        </w:rPr>
        <w:t>FRR</w:t>
      </w:r>
      <w:r>
        <w:rPr>
          <w:color w:val="333333"/>
          <w:spacing w:val="6"/>
          <w:sz w:val="22"/>
          <w:szCs w:val="22"/>
        </w:rPr>
        <w:t>项目全国运营中心官网</w:t>
      </w:r>
    </w:p>
    <w:p w14:paraId="49B573E3">
      <w:pPr>
        <w:pStyle w:val="2"/>
        <w:spacing w:before="1" w:line="210" w:lineRule="auto"/>
        <w:ind w:left="18"/>
      </w:pPr>
      <w:r>
        <w:fldChar w:fldCharType="begin"/>
      </w:r>
      <w:r>
        <w:instrText xml:space="preserve"> HYPERLINK "https://www.frr.net.cn/" </w:instrText>
      </w:r>
      <w:r>
        <w:fldChar w:fldCharType="separate"/>
      </w:r>
      <w:r>
        <w:rPr>
          <w:color w:val="333333"/>
          <w:sz w:val="22"/>
          <w:szCs w:val="22"/>
        </w:rPr>
        <w:t>https</w:t>
      </w:r>
      <w:r>
        <w:rPr>
          <w:color w:val="333333"/>
          <w:spacing w:val="10"/>
          <w:sz w:val="22"/>
          <w:szCs w:val="22"/>
        </w:rPr>
        <w:t>://</w:t>
      </w:r>
      <w:r>
        <w:rPr>
          <w:color w:val="333333"/>
          <w:sz w:val="22"/>
          <w:szCs w:val="22"/>
        </w:rPr>
        <w:t>www</w:t>
      </w:r>
      <w:r>
        <w:rPr>
          <w:color w:val="333333"/>
          <w:spacing w:val="10"/>
          <w:sz w:val="22"/>
          <w:szCs w:val="22"/>
        </w:rPr>
        <w:t>.</w:t>
      </w:r>
      <w:r>
        <w:rPr>
          <w:color w:val="333333"/>
          <w:sz w:val="22"/>
          <w:szCs w:val="22"/>
        </w:rPr>
        <w:t>frr</w:t>
      </w:r>
      <w:r>
        <w:rPr>
          <w:color w:val="333333"/>
          <w:spacing w:val="10"/>
          <w:sz w:val="22"/>
          <w:szCs w:val="22"/>
        </w:rPr>
        <w:t>.</w:t>
      </w:r>
      <w:r>
        <w:rPr>
          <w:color w:val="333333"/>
          <w:spacing w:val="-25"/>
          <w:sz w:val="22"/>
          <w:szCs w:val="22"/>
        </w:rPr>
        <w:t xml:space="preserve"> </w:t>
      </w:r>
      <w:r>
        <w:rPr>
          <w:color w:val="333333"/>
          <w:sz w:val="22"/>
          <w:szCs w:val="22"/>
        </w:rPr>
        <w:t>net</w:t>
      </w:r>
      <w:r>
        <w:rPr>
          <w:color w:val="333333"/>
          <w:spacing w:val="10"/>
          <w:sz w:val="22"/>
          <w:szCs w:val="22"/>
        </w:rPr>
        <w:t>.</w:t>
      </w:r>
      <w:r>
        <w:rPr>
          <w:color w:val="333333"/>
          <w:sz w:val="22"/>
          <w:szCs w:val="22"/>
        </w:rPr>
        <w:t>cn</w:t>
      </w:r>
      <w:r>
        <w:rPr>
          <w:color w:val="333333"/>
          <w:spacing w:val="10"/>
          <w:sz w:val="22"/>
          <w:szCs w:val="22"/>
        </w:rPr>
        <w:t>/</w:t>
      </w:r>
      <w:r>
        <w:rPr>
          <w:color w:val="333333"/>
          <w:spacing w:val="10"/>
          <w:sz w:val="22"/>
          <w:szCs w:val="22"/>
        </w:rPr>
        <w:fldChar w:fldCharType="end"/>
      </w:r>
      <w:r>
        <w:rPr>
          <w:color w:val="333333"/>
          <w:spacing w:val="10"/>
          <w:sz w:val="22"/>
          <w:szCs w:val="22"/>
        </w:rPr>
        <w:t>或公众号：</w:t>
      </w:r>
      <w:r>
        <w:rPr>
          <w:color w:val="333333"/>
          <w:spacing w:val="-28"/>
          <w:sz w:val="22"/>
          <w:szCs w:val="22"/>
        </w:rPr>
        <w:t xml:space="preserve"> </w:t>
      </w:r>
      <w:r>
        <w:rPr>
          <w:color w:val="333333"/>
          <w:sz w:val="22"/>
          <w:szCs w:val="22"/>
        </w:rPr>
        <w:t>FRR</w:t>
      </w:r>
      <w:r>
        <w:rPr>
          <w:color w:val="333333"/>
          <w:spacing w:val="10"/>
          <w:sz w:val="22"/>
          <w:szCs w:val="22"/>
        </w:rPr>
        <w:t xml:space="preserve">项目运营中心 </w:t>
      </w:r>
      <w:r>
        <w:rPr>
          <w:color w:val="231F20"/>
          <w:spacing w:val="10"/>
        </w:rPr>
        <w:t>公布）</w:t>
      </w:r>
    </w:p>
    <w:p w14:paraId="7C5864B6">
      <w:pPr>
        <w:pStyle w:val="2"/>
        <w:spacing w:before="69" w:line="226" w:lineRule="auto"/>
        <w:ind w:left="21"/>
        <w:rPr>
          <w:sz w:val="22"/>
          <w:szCs w:val="22"/>
        </w:rPr>
      </w:pPr>
      <w:r>
        <w:rPr>
          <w:sz w:val="22"/>
          <w:szCs w:val="22"/>
        </w:rPr>
        <w:t>FRR</w:t>
      </w:r>
      <w:r>
        <w:rPr>
          <w:spacing w:val="8"/>
          <w:sz w:val="22"/>
          <w:szCs w:val="22"/>
        </w:rPr>
        <w:t>授权机构每期招生达30人可申请专场考试</w:t>
      </w:r>
    </w:p>
    <w:p w14:paraId="4B6383AC">
      <w:pPr>
        <w:spacing w:line="226" w:lineRule="auto"/>
        <w:rPr>
          <w:sz w:val="22"/>
          <w:szCs w:val="22"/>
        </w:rPr>
        <w:sectPr>
          <w:footerReference r:id="rId8" w:type="default"/>
          <w:pgSz w:w="10660" w:h="15081"/>
          <w:pgMar w:top="1257" w:right="1337" w:bottom="325" w:left="1137" w:header="0" w:footer="0" w:gutter="0"/>
          <w:cols w:space="720" w:num="1"/>
        </w:sectPr>
      </w:pPr>
      <w:r>
        <w:rPr>
          <w:rFonts w:hint="eastAsia" w:ascii="微软雅黑" w:hAnsi="微软雅黑" w:eastAsia="微软雅黑" w:cs="微软雅黑"/>
          <w:sz w:val="71"/>
          <w:szCs w:val="71"/>
          <w:lang w:eastAsia="zh-CN"/>
        </w:rPr>
        <w:drawing>
          <wp:anchor distT="0" distB="0" distL="114300" distR="114300" simplePos="0" relativeHeight="251688960" behindDoc="0" locked="0" layoutInCell="1" allowOverlap="1">
            <wp:simplePos x="0" y="0"/>
            <wp:positionH relativeFrom="column">
              <wp:posOffset>-711200</wp:posOffset>
            </wp:positionH>
            <wp:positionV relativeFrom="paragraph">
              <wp:posOffset>20320</wp:posOffset>
            </wp:positionV>
            <wp:extent cx="6795770" cy="384810"/>
            <wp:effectExtent l="0" t="0" r="1270" b="11430"/>
            <wp:wrapNone/>
            <wp:docPr id="3" name="图片 3" descr="文字文稿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文字文稿1_01"/>
                    <pic:cNvPicPr>
                      <a:picLocks noChangeAspect="1"/>
                    </pic:cNvPicPr>
                  </pic:nvPicPr>
                  <pic:blipFill>
                    <a:blip r:embed="rId36">
                      <a:lum contrast="6000"/>
                    </a:blip>
                    <a:srcRect t="96008"/>
                    <a:stretch>
                      <a:fillRect/>
                    </a:stretch>
                  </pic:blipFill>
                  <pic:spPr>
                    <a:xfrm>
                      <a:off x="0" y="0"/>
                      <a:ext cx="6795770" cy="384810"/>
                    </a:xfrm>
                    <a:prstGeom prst="rect">
                      <a:avLst/>
                    </a:prstGeom>
                  </pic:spPr>
                </pic:pic>
              </a:graphicData>
            </a:graphic>
          </wp:anchor>
        </w:drawing>
      </w:r>
    </w:p>
    <w:p w14:paraId="5382D06F">
      <w:pPr>
        <w:pStyle w:val="2"/>
        <w:spacing w:before="40" w:line="189" w:lineRule="auto"/>
      </w:pPr>
      <w:r>
        <w:rPr>
          <w:color w:val="231F20"/>
          <w:spacing w:val="7"/>
          <w:u w:val="single" w:color="auto"/>
        </w:rPr>
        <w:t>考试形式</w:t>
      </w:r>
    </w:p>
    <w:p w14:paraId="229C6048">
      <w:pPr>
        <w:pStyle w:val="2"/>
        <w:spacing w:before="67" w:line="229" w:lineRule="auto"/>
        <w:ind w:left="1"/>
      </w:pPr>
      <w:r>
        <w:rPr>
          <w:color w:val="231F20"/>
          <w:spacing w:val="8"/>
        </w:rPr>
        <w:t>机考（个别城市纸笔考试配合）</w:t>
      </w:r>
    </w:p>
    <w:p w14:paraId="18ADCE0A">
      <w:pPr>
        <w:spacing w:line="267" w:lineRule="auto"/>
        <w:rPr>
          <w:rFonts w:ascii="Arial"/>
          <w:sz w:val="21"/>
        </w:rPr>
      </w:pPr>
    </w:p>
    <w:p w14:paraId="04179F09">
      <w:pPr>
        <w:pStyle w:val="2"/>
        <w:spacing w:before="86" w:line="189" w:lineRule="auto"/>
      </w:pPr>
      <w:r>
        <w:rPr>
          <w:color w:val="231F20"/>
          <w:spacing w:val="7"/>
          <w:u w:val="single" w:color="auto"/>
        </w:rPr>
        <w:t>考试题型与题量</w:t>
      </w:r>
    </w:p>
    <w:p w14:paraId="091FBB75">
      <w:pPr>
        <w:pStyle w:val="2"/>
        <w:spacing w:before="69" w:line="233" w:lineRule="auto"/>
        <w:ind w:left="2"/>
      </w:pPr>
      <w:r>
        <w:rPr>
          <w:color w:val="231F20"/>
          <w:spacing w:val="8"/>
        </w:rPr>
        <w:t>单项选择题。共120题</w:t>
      </w:r>
    </w:p>
    <w:p w14:paraId="18CC166C">
      <w:pPr>
        <w:spacing w:line="456" w:lineRule="auto"/>
        <w:rPr>
          <w:rFonts w:ascii="Arial"/>
          <w:sz w:val="21"/>
        </w:rPr>
      </w:pPr>
    </w:p>
    <w:p w14:paraId="5D76A797">
      <w:pPr>
        <w:pStyle w:val="2"/>
        <w:spacing w:before="86" w:line="251" w:lineRule="auto"/>
        <w:ind w:left="2" w:right="7353" w:hanging="2"/>
      </w:pPr>
      <w:r>
        <w:rPr>
          <w:color w:val="231F20"/>
          <w:spacing w:val="7"/>
          <w:u w:val="single" w:color="auto"/>
        </w:rPr>
        <w:t>考试时间</w:t>
      </w:r>
      <w:r>
        <w:rPr>
          <w:color w:val="231F20"/>
        </w:rPr>
        <w:t xml:space="preserve"> </w:t>
      </w:r>
      <w:r>
        <w:rPr>
          <w:color w:val="231F20"/>
          <w:spacing w:val="5"/>
        </w:rPr>
        <w:t>两小时</w:t>
      </w:r>
    </w:p>
    <w:p w14:paraId="24098457">
      <w:pPr>
        <w:spacing w:line="362" w:lineRule="auto"/>
        <w:rPr>
          <w:rFonts w:ascii="Arial"/>
          <w:sz w:val="21"/>
        </w:rPr>
      </w:pPr>
    </w:p>
    <w:p w14:paraId="159F6788">
      <w:pPr>
        <w:pStyle w:val="2"/>
        <w:spacing w:before="86" w:line="190" w:lineRule="auto"/>
      </w:pPr>
      <w:r>
        <w:rPr>
          <w:color w:val="231F20"/>
          <w:spacing w:val="7"/>
          <w:u w:val="single" w:color="auto"/>
        </w:rPr>
        <w:t>考试参考教材</w:t>
      </w:r>
    </w:p>
    <w:p w14:paraId="0462F0EA">
      <w:pPr>
        <w:pStyle w:val="2"/>
        <w:spacing w:before="76" w:line="225" w:lineRule="auto"/>
        <w:ind w:right="47" w:firstLine="8"/>
        <w:jc w:val="both"/>
      </w:pPr>
      <w:r>
        <w:rPr>
          <w:color w:val="231F20"/>
        </w:rPr>
        <w:t>GARP</w:t>
      </w:r>
      <w:r>
        <w:rPr>
          <w:color w:val="231F20"/>
          <w:spacing w:val="18"/>
        </w:rPr>
        <w:t>金融风险与监管</w:t>
      </w:r>
      <w:r>
        <w:rPr>
          <w:color w:val="231F20"/>
          <w:spacing w:val="-30"/>
        </w:rPr>
        <w:t xml:space="preserve"> </w:t>
      </w:r>
      <w:r>
        <w:rPr>
          <w:color w:val="231F20"/>
          <w:spacing w:val="18"/>
        </w:rPr>
        <w:t xml:space="preserve">（ </w:t>
      </w:r>
      <w:r>
        <w:rPr>
          <w:color w:val="231F20"/>
        </w:rPr>
        <w:t>FRR</w:t>
      </w:r>
      <w:r>
        <w:rPr>
          <w:color w:val="231F20"/>
          <w:spacing w:val="18"/>
        </w:rPr>
        <w:t>）</w:t>
      </w:r>
      <w:r>
        <w:rPr>
          <w:color w:val="231F20"/>
          <w:spacing w:val="-31"/>
        </w:rPr>
        <w:t xml:space="preserve"> </w:t>
      </w:r>
      <w:r>
        <w:rPr>
          <w:color w:val="231F20"/>
          <w:spacing w:val="18"/>
        </w:rPr>
        <w:t>系列丛书</w:t>
      </w:r>
      <w:r>
        <w:rPr>
          <w:color w:val="231F20"/>
          <w:spacing w:val="-14"/>
        </w:rPr>
        <w:t xml:space="preserve"> </w:t>
      </w:r>
      <w:r>
        <w:rPr>
          <w:color w:val="231F20"/>
          <w:spacing w:val="18"/>
        </w:rPr>
        <w:t>，</w:t>
      </w:r>
      <w:r>
        <w:rPr>
          <w:color w:val="231F20"/>
          <w:spacing w:val="-38"/>
        </w:rPr>
        <w:t xml:space="preserve"> </w:t>
      </w:r>
      <w:r>
        <w:rPr>
          <w:color w:val="231F20"/>
          <w:spacing w:val="18"/>
        </w:rPr>
        <w:t>该教材为</w:t>
      </w:r>
      <w:r>
        <w:rPr>
          <w:color w:val="231F20"/>
        </w:rPr>
        <w:t>FRR</w:t>
      </w:r>
      <w:r>
        <w:rPr>
          <w:color w:val="231F20"/>
          <w:spacing w:val="18"/>
        </w:rPr>
        <w:t>考试</w:t>
      </w:r>
      <w:r>
        <w:rPr>
          <w:color w:val="231F20"/>
        </w:rPr>
        <w:t>GARP</w:t>
      </w:r>
      <w:r>
        <w:rPr>
          <w:color w:val="231F20"/>
          <w:spacing w:val="18"/>
        </w:rPr>
        <w:t>官方指定参考教材</w:t>
      </w:r>
      <w:r>
        <w:rPr>
          <w:color w:val="231F20"/>
        </w:rPr>
        <w:t xml:space="preserve"> </w:t>
      </w:r>
      <w:r>
        <w:rPr>
          <w:color w:val="231F20"/>
          <w:spacing w:val="15"/>
        </w:rPr>
        <w:t>“</w:t>
      </w:r>
      <w:r>
        <w:rPr>
          <w:color w:val="231F20"/>
          <w:spacing w:val="-30"/>
        </w:rPr>
        <w:t xml:space="preserve"> </w:t>
      </w:r>
      <w:r>
        <w:rPr>
          <w:color w:val="231F20"/>
        </w:rPr>
        <w:t>GARP</w:t>
      </w:r>
      <w:r>
        <w:rPr>
          <w:color w:val="231F20"/>
          <w:spacing w:val="15"/>
        </w:rPr>
        <w:t xml:space="preserve">  </w:t>
      </w:r>
      <w:r>
        <w:rPr>
          <w:color w:val="231F20"/>
        </w:rPr>
        <w:t>Financial</w:t>
      </w:r>
      <w:r>
        <w:rPr>
          <w:color w:val="231F20"/>
          <w:spacing w:val="15"/>
        </w:rPr>
        <w:t xml:space="preserve">  </w:t>
      </w:r>
      <w:r>
        <w:rPr>
          <w:color w:val="231F20"/>
        </w:rPr>
        <w:t>Risk</w:t>
      </w:r>
      <w:r>
        <w:rPr>
          <w:color w:val="231F20"/>
          <w:spacing w:val="43"/>
          <w:w w:val="101"/>
        </w:rPr>
        <w:t xml:space="preserve"> </w:t>
      </w:r>
      <w:r>
        <w:rPr>
          <w:color w:val="231F20"/>
        </w:rPr>
        <w:t>and  Regulation</w:t>
      </w:r>
      <w:r>
        <w:rPr>
          <w:color w:val="231F20"/>
          <w:spacing w:val="47"/>
          <w:w w:val="101"/>
        </w:rPr>
        <w:t xml:space="preserve"> </w:t>
      </w:r>
      <w:r>
        <w:rPr>
          <w:color w:val="231F20"/>
        </w:rPr>
        <w:t>Series</w:t>
      </w:r>
      <w:r>
        <w:rPr>
          <w:color w:val="231F20"/>
          <w:spacing w:val="15"/>
        </w:rPr>
        <w:t>”</w:t>
      </w:r>
      <w:r>
        <w:rPr>
          <w:color w:val="231F20"/>
          <w:spacing w:val="-31"/>
        </w:rPr>
        <w:t xml:space="preserve"> </w:t>
      </w:r>
      <w:r>
        <w:rPr>
          <w:color w:val="231F20"/>
          <w:spacing w:val="15"/>
        </w:rPr>
        <w:t>中文版</w:t>
      </w:r>
      <w:r>
        <w:rPr>
          <w:color w:val="231F20"/>
          <w:spacing w:val="-34"/>
        </w:rPr>
        <w:t xml:space="preserve"> </w:t>
      </w:r>
      <w:r>
        <w:rPr>
          <w:color w:val="231F20"/>
          <w:spacing w:val="15"/>
        </w:rPr>
        <w:t>。</w:t>
      </w:r>
      <w:r>
        <w:rPr>
          <w:color w:val="231F20"/>
          <w:spacing w:val="-37"/>
        </w:rPr>
        <w:t xml:space="preserve"> </w:t>
      </w:r>
      <w:r>
        <w:rPr>
          <w:color w:val="231F20"/>
          <w:spacing w:val="15"/>
        </w:rPr>
        <w:t>共有四册</w:t>
      </w:r>
      <w:r>
        <w:rPr>
          <w:rFonts w:hint="eastAsia"/>
          <w:color w:val="231F20"/>
          <w:spacing w:val="15"/>
          <w:lang w:eastAsia="zh-CN"/>
        </w:rPr>
        <w:t>：</w:t>
      </w:r>
      <w:r>
        <w:rPr>
          <w:color w:val="231F20"/>
          <w:spacing w:val="15"/>
        </w:rPr>
        <w:t>《信用风险</w:t>
      </w:r>
      <w:r>
        <w:rPr>
          <w:color w:val="231F20"/>
          <w:spacing w:val="21"/>
        </w:rPr>
        <w:t xml:space="preserve"> </w:t>
      </w:r>
      <w:r>
        <w:rPr>
          <w:color w:val="231F20"/>
          <w:spacing w:val="15"/>
        </w:rPr>
        <w:t>管</w:t>
      </w:r>
      <w:r>
        <w:rPr>
          <w:color w:val="231F20"/>
        </w:rPr>
        <w:t xml:space="preserve">  </w:t>
      </w:r>
      <w:r>
        <w:rPr>
          <w:color w:val="231F20"/>
          <w:spacing w:val="8"/>
        </w:rPr>
        <w:t>理</w:t>
      </w:r>
      <w:r>
        <w:rPr>
          <w:rFonts w:hint="eastAsia"/>
          <w:color w:val="231F20"/>
          <w:spacing w:val="8"/>
          <w:lang w:eastAsia="zh-CN"/>
        </w:rPr>
        <w:t>》《</w:t>
      </w:r>
      <w:r>
        <w:rPr>
          <w:color w:val="231F20"/>
          <w:spacing w:val="8"/>
        </w:rPr>
        <w:t>市场风险管理</w:t>
      </w:r>
      <w:r>
        <w:rPr>
          <w:rFonts w:hint="eastAsia"/>
          <w:color w:val="231F20"/>
          <w:spacing w:val="8"/>
          <w:lang w:eastAsia="zh-CN"/>
        </w:rPr>
        <w:t>》《</w:t>
      </w:r>
      <w:r>
        <w:rPr>
          <w:color w:val="231F20"/>
          <w:spacing w:val="8"/>
        </w:rPr>
        <w:t>操作风险管理》和《资产负债管理》。</w:t>
      </w:r>
    </w:p>
    <w:p w14:paraId="632FE718">
      <w:pPr>
        <w:spacing w:line="408" w:lineRule="auto"/>
        <w:rPr>
          <w:rFonts w:ascii="Arial"/>
          <w:sz w:val="21"/>
        </w:rPr>
      </w:pPr>
    </w:p>
    <w:p w14:paraId="573A0888">
      <w:pPr>
        <w:pStyle w:val="2"/>
        <w:spacing w:before="86" w:line="189" w:lineRule="auto"/>
      </w:pPr>
      <w:r>
        <w:rPr>
          <w:color w:val="231F20"/>
          <w:spacing w:val="7"/>
          <w:u w:val="single" w:color="auto"/>
        </w:rPr>
        <w:t>考试内容与结构</w:t>
      </w:r>
    </w:p>
    <w:p w14:paraId="6609473A">
      <w:pPr>
        <w:pStyle w:val="2"/>
        <w:spacing w:before="119" w:line="227" w:lineRule="auto"/>
        <w:ind w:left="1" w:right="31" w:firstLine="17"/>
        <w:jc w:val="both"/>
      </w:pPr>
      <w:r>
        <w:rPr>
          <w:color w:val="231F20"/>
        </w:rPr>
        <w:t>FRR</w:t>
      </w:r>
      <w:r>
        <w:rPr>
          <w:color w:val="231F20"/>
          <w:spacing w:val="13"/>
        </w:rPr>
        <w:t>是以实践为基础开发的金融风险管理证书考试</w:t>
      </w:r>
      <w:r>
        <w:rPr>
          <w:color w:val="231F20"/>
          <w:spacing w:val="-21"/>
        </w:rPr>
        <w:t xml:space="preserve"> </w:t>
      </w:r>
      <w:r>
        <w:rPr>
          <w:color w:val="231F20"/>
          <w:spacing w:val="13"/>
        </w:rPr>
        <w:t>，考</w:t>
      </w:r>
      <w:r>
        <w:rPr>
          <w:color w:val="231F20"/>
          <w:spacing w:val="12"/>
        </w:rPr>
        <w:t>试以巴塞尔新资本协议为基 础，</w:t>
      </w:r>
      <w:r>
        <w:rPr>
          <w:color w:val="231F20"/>
        </w:rPr>
        <w:t xml:space="preserve"> </w:t>
      </w:r>
      <w:r>
        <w:rPr>
          <w:color w:val="231F20"/>
          <w:spacing w:val="9"/>
        </w:rPr>
        <w:t>涵盖广泛深入的定性风险管理知识</w:t>
      </w:r>
      <w:r>
        <w:rPr>
          <w:color w:val="231F20"/>
          <w:spacing w:val="-10"/>
        </w:rPr>
        <w:t xml:space="preserve"> </w:t>
      </w:r>
      <w:r>
        <w:rPr>
          <w:color w:val="231F20"/>
          <w:spacing w:val="9"/>
        </w:rPr>
        <w:t>，全面考查考生对信用风险、市场风险、操作风险 和</w:t>
      </w:r>
      <w:r>
        <w:rPr>
          <w:color w:val="231F20"/>
        </w:rPr>
        <w:t xml:space="preserve">  </w:t>
      </w:r>
      <w:r>
        <w:rPr>
          <w:color w:val="231F20"/>
          <w:spacing w:val="9"/>
        </w:rPr>
        <w:t>资产负债管理等金融风险与监管知识的掌握程度。考试结构如下</w:t>
      </w:r>
      <w:r>
        <w:rPr>
          <w:rFonts w:hint="eastAsia"/>
          <w:color w:val="231F20"/>
          <w:spacing w:val="9"/>
          <w:lang w:eastAsia="zh-CN"/>
        </w:rPr>
        <w:t>：</w:t>
      </w:r>
    </w:p>
    <w:p w14:paraId="2F4A23DA">
      <w:pPr>
        <w:spacing w:line="339" w:lineRule="auto"/>
        <w:rPr>
          <w:rFonts w:ascii="Arial"/>
          <w:sz w:val="21"/>
        </w:rPr>
      </w:pPr>
    </w:p>
    <w:p w14:paraId="470D22D0">
      <w:pPr>
        <w:spacing w:line="339" w:lineRule="auto"/>
        <w:rPr>
          <w:rFonts w:ascii="Arial"/>
          <w:sz w:val="21"/>
        </w:rPr>
      </w:pPr>
      <w:r>
        <mc:AlternateContent>
          <mc:Choice Requires="wps">
            <w:drawing>
              <wp:anchor distT="0" distB="0" distL="0" distR="0" simplePos="0" relativeHeight="251664384" behindDoc="1" locked="0" layoutInCell="1" allowOverlap="1">
                <wp:simplePos x="0" y="0"/>
                <wp:positionH relativeFrom="column">
                  <wp:posOffset>212090</wp:posOffset>
                </wp:positionH>
                <wp:positionV relativeFrom="paragraph">
                  <wp:posOffset>114935</wp:posOffset>
                </wp:positionV>
                <wp:extent cx="4860290" cy="847725"/>
                <wp:effectExtent l="0" t="0" r="0" b="0"/>
                <wp:wrapNone/>
                <wp:docPr id="32" name="Rect 32"/>
                <wp:cNvGraphicFramePr/>
                <a:graphic xmlns:a="http://schemas.openxmlformats.org/drawingml/2006/main">
                  <a:graphicData uri="http://schemas.microsoft.com/office/word/2010/wordprocessingShape">
                    <wps:wsp>
                      <wps:cNvSpPr/>
                      <wps:spPr>
                        <a:xfrm>
                          <a:off x="212430" y="115246"/>
                          <a:ext cx="4860290" cy="847725"/>
                        </a:xfrm>
                        <a:prstGeom prst="rect">
                          <a:avLst/>
                        </a:prstGeom>
                        <a:solidFill>
                          <a:srgbClr val="EEF1F2"/>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32" o:spid="_x0000_s1026" o:spt="1" style="position:absolute;left:0pt;margin-left:16.7pt;margin-top:9.05pt;height:66.75pt;width:382.7pt;z-index:-251652096;mso-width-relative:page;mso-height-relative:page;" fillcolor="#EEF1F2" filled="t" stroked="f" coordsize="21600,21600" o:gfxdata="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ntHQdYAAAAJAQAADwAAAAAAAAABACAAAAAiAAAAZHJzL2Rvd25yZXYueG1s&#10;UEsBAhQAFAAAAAgAh07iQBh+lb4zAgAAbgQAAA4AAAAAAAAAAQAgAAAAJQEAAGRycy9lMm9Eb2Mu&#10;eG1sUEsFBgAAAAAGAAYAWQEAAMoFAAAAAA==&#10;">
                <v:fill on="t" focussize="0,0"/>
                <v:stroke on="f" weight="0pt"/>
                <v:imagedata o:title=""/>
                <o:lock v:ext="edit" aspectratio="f"/>
                <v:textbox inset="0mm,0mm,0mm,0mm"/>
              </v:rect>
            </w:pict>
          </mc:Fallback>
        </mc:AlternateContent>
      </w:r>
      <w:r>
        <mc:AlternateContent>
          <mc:Choice Requires="wps">
            <w:drawing>
              <wp:anchor distT="0" distB="0" distL="0" distR="0" simplePos="0" relativeHeight="251663360" behindDoc="1" locked="0" layoutInCell="1" allowOverlap="1">
                <wp:simplePos x="0" y="0"/>
                <wp:positionH relativeFrom="column">
                  <wp:posOffset>233680</wp:posOffset>
                </wp:positionH>
                <wp:positionV relativeFrom="paragraph">
                  <wp:posOffset>136525</wp:posOffset>
                </wp:positionV>
                <wp:extent cx="4878705" cy="885825"/>
                <wp:effectExtent l="0" t="0" r="0" b="0"/>
                <wp:wrapNone/>
                <wp:docPr id="34" name="Rect 34"/>
                <wp:cNvGraphicFramePr/>
                <a:graphic xmlns:a="http://schemas.openxmlformats.org/drawingml/2006/main">
                  <a:graphicData uri="http://schemas.microsoft.com/office/word/2010/wordprocessingShape">
                    <wps:wsp>
                      <wps:cNvSpPr/>
                      <wps:spPr>
                        <a:xfrm>
                          <a:off x="233766" y="136582"/>
                          <a:ext cx="4878704" cy="885825"/>
                        </a:xfrm>
                        <a:prstGeom prst="rect">
                          <a:avLst/>
                        </a:prstGeom>
                        <a:solidFill>
                          <a:srgbClr val="231F20">
                            <a:alpha val="18823"/>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34" o:spid="_x0000_s1026" o:spt="1" style="position:absolute;left:0pt;margin-left:18.4pt;margin-top:10.75pt;height:69.75pt;width:384.15pt;z-index:-251653120;mso-width-relative:page;mso-height-relative:page;" fillcolor="#231F20" filled="t" stroked="f" coordsize="21600,21600" o:gfxdata="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ErG39UAAAAJAQAADwAAAAAAAAABACAAAAAiAAAAZHJz&#10;L2Rvd25yZXYueG1sUEsBAhQAFAAAAAgAh07iQMjS3BxAAgAAjwQAAA4AAAAAAAAAAQAgAAAAJAEA&#10;AGRycy9lMm9Eb2MueG1sUEsFBgAAAAAGAAYAWQEAANYFAAAAAA==&#10;">
                <v:fill on="t" opacity="12335f" focussize="0,0"/>
                <v:stroke on="f" weight="0pt"/>
                <v:imagedata o:title=""/>
                <o:lock v:ext="edit" aspectratio="f"/>
                <v:textbox inset="0mm,0mm,0mm,0mm"/>
              </v:rect>
            </w:pict>
          </mc:Fallback>
        </mc:AlternateContent>
      </w:r>
      <w:r>
        <w:pict>
          <v:shape id="_x0000_s1027" o:spid="_x0000_s1027" o:spt="202" type="#_x0000_t202" style="position:absolute;left:0pt;margin-left:233.15pt;margin-top:20.2pt;height:46pt;width:129pt;z-index:251665408;mso-width-relative:page;mso-height-relative:page;" filled="f" stroked="f" coordsize="21600,21600">
            <v:path/>
            <v:fill on="f" focussize="0,0"/>
            <v:stroke on="f"/>
            <v:imagedata o:title=""/>
            <o:lock v:ext="edit" aspectratio="f"/>
            <v:textbox inset="0mm,0mm,0mm,0mm">
              <w:txbxContent>
                <w:p w14:paraId="212D3F98">
                  <w:pPr>
                    <w:pStyle w:val="2"/>
                    <w:spacing w:before="20" w:line="217" w:lineRule="auto"/>
                    <w:ind w:left="20"/>
                  </w:pPr>
                  <w:r>
                    <w:rPr>
                      <w:color w:val="231F20"/>
                      <w:position w:val="-5"/>
                    </w:rPr>
                    <w:drawing>
                      <wp:inline distT="0" distB="0" distL="0" distR="0">
                        <wp:extent cx="116840" cy="162560"/>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40"/>
                                <a:stretch>
                                  <a:fillRect/>
                                </a:stretch>
                              </pic:blipFill>
                              <pic:spPr>
                                <a:xfrm>
                                  <a:off x="0" y="0"/>
                                  <a:ext cx="117347" cy="163067"/>
                                </a:xfrm>
                                <a:prstGeom prst="rect">
                                  <a:avLst/>
                                </a:prstGeom>
                              </pic:spPr>
                            </pic:pic>
                          </a:graphicData>
                        </a:graphic>
                      </wp:inline>
                    </w:drawing>
                  </w:r>
                  <w:r>
                    <w:rPr>
                      <w:color w:val="231F20"/>
                      <w:spacing w:val="46"/>
                    </w:rPr>
                    <w:t xml:space="preserve"> </w:t>
                  </w:r>
                  <w:r>
                    <w:rPr>
                      <w:color w:val="231F20"/>
                      <w:spacing w:val="3"/>
                    </w:rPr>
                    <w:t>《市场风险管理》｜</w:t>
                  </w:r>
                  <w:r>
                    <w:rPr>
                      <w:color w:val="F05124"/>
                      <w:spacing w:val="3"/>
                    </w:rPr>
                    <w:t>30%</w:t>
                  </w:r>
                </w:p>
                <w:p w14:paraId="298B6066">
                  <w:pPr>
                    <w:pStyle w:val="2"/>
                    <w:spacing w:before="258" w:line="217" w:lineRule="auto"/>
                    <w:ind w:left="20"/>
                  </w:pPr>
                  <w:r>
                    <w:rPr>
                      <w:color w:val="231F20"/>
                      <w:position w:val="-4"/>
                    </w:rPr>
                    <w:drawing>
                      <wp:inline distT="0" distB="0" distL="0" distR="0">
                        <wp:extent cx="116840" cy="162560"/>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41"/>
                                <a:stretch>
                                  <a:fillRect/>
                                </a:stretch>
                              </pic:blipFill>
                              <pic:spPr>
                                <a:xfrm>
                                  <a:off x="0" y="0"/>
                                  <a:ext cx="117347" cy="163067"/>
                                </a:xfrm>
                                <a:prstGeom prst="rect">
                                  <a:avLst/>
                                </a:prstGeom>
                              </pic:spPr>
                            </pic:pic>
                          </a:graphicData>
                        </a:graphic>
                      </wp:inline>
                    </w:drawing>
                  </w:r>
                  <w:r>
                    <w:rPr>
                      <w:color w:val="231F20"/>
                      <w:spacing w:val="43"/>
                      <w:w w:val="101"/>
                    </w:rPr>
                    <w:t xml:space="preserve"> </w:t>
                  </w:r>
                  <w:r>
                    <w:rPr>
                      <w:color w:val="231F20"/>
                      <w:spacing w:val="3"/>
                    </w:rPr>
                    <w:t>《资产负债管理》｜</w:t>
                  </w:r>
                  <w:r>
                    <w:rPr>
                      <w:color w:val="F05124"/>
                      <w:spacing w:val="3"/>
                    </w:rPr>
                    <w:t>23%</w:t>
                  </w:r>
                </w:p>
              </w:txbxContent>
            </v:textbox>
          </v:shape>
        </w:pict>
      </w:r>
    </w:p>
    <w:p w14:paraId="2A4A0373">
      <w:pPr>
        <w:pStyle w:val="2"/>
        <w:spacing w:before="86" w:line="217" w:lineRule="auto"/>
        <w:ind w:left="896"/>
      </w:pPr>
      <w:r>
        <w:rPr>
          <w:color w:val="231F20"/>
          <w:position w:val="-5"/>
        </w:rPr>
        <w:drawing>
          <wp:inline distT="0" distB="0" distL="0" distR="0">
            <wp:extent cx="116840" cy="162560"/>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42"/>
                    <a:stretch>
                      <a:fillRect/>
                    </a:stretch>
                  </pic:blipFill>
                  <pic:spPr>
                    <a:xfrm>
                      <a:off x="0" y="0"/>
                      <a:ext cx="117347" cy="163067"/>
                    </a:xfrm>
                    <a:prstGeom prst="rect">
                      <a:avLst/>
                    </a:prstGeom>
                  </pic:spPr>
                </pic:pic>
              </a:graphicData>
            </a:graphic>
          </wp:inline>
        </w:drawing>
      </w:r>
      <w:r>
        <w:rPr>
          <w:color w:val="231F20"/>
          <w:spacing w:val="39"/>
        </w:rPr>
        <w:t xml:space="preserve"> </w:t>
      </w:r>
      <w:r>
        <w:rPr>
          <w:color w:val="231F20"/>
          <w:spacing w:val="3"/>
        </w:rPr>
        <w:t>《信用风险管理》｜</w:t>
      </w:r>
      <w:r>
        <w:rPr>
          <w:color w:val="F05124"/>
          <w:spacing w:val="3"/>
        </w:rPr>
        <w:t>27%</w:t>
      </w:r>
    </w:p>
    <w:p w14:paraId="17D1C800">
      <w:pPr>
        <w:pStyle w:val="2"/>
        <w:spacing w:before="256" w:line="217" w:lineRule="auto"/>
        <w:ind w:left="896"/>
      </w:pPr>
      <w:r>
        <w:rPr>
          <w:color w:val="231F20"/>
          <w:position w:val="-5"/>
        </w:rPr>
        <w:drawing>
          <wp:inline distT="0" distB="0" distL="0" distR="0">
            <wp:extent cx="116840" cy="162560"/>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43"/>
                    <a:stretch>
                      <a:fillRect/>
                    </a:stretch>
                  </pic:blipFill>
                  <pic:spPr>
                    <a:xfrm>
                      <a:off x="0" y="0"/>
                      <a:ext cx="117347" cy="163067"/>
                    </a:xfrm>
                    <a:prstGeom prst="rect">
                      <a:avLst/>
                    </a:prstGeom>
                  </pic:spPr>
                </pic:pic>
              </a:graphicData>
            </a:graphic>
          </wp:inline>
        </w:drawing>
      </w:r>
      <w:r>
        <w:rPr>
          <w:color w:val="231F20"/>
          <w:spacing w:val="41"/>
          <w:w w:val="101"/>
        </w:rPr>
        <w:t xml:space="preserve"> </w:t>
      </w:r>
      <w:r>
        <w:rPr>
          <w:color w:val="231F20"/>
          <w:spacing w:val="3"/>
        </w:rPr>
        <w:t>《操作风险管理》｜</w:t>
      </w:r>
      <w:r>
        <w:rPr>
          <w:color w:val="F05124"/>
          <w:spacing w:val="3"/>
        </w:rPr>
        <w:t>20%</w:t>
      </w:r>
    </w:p>
    <w:p w14:paraId="0CF862F0">
      <w:pPr>
        <w:spacing w:line="269" w:lineRule="auto"/>
        <w:rPr>
          <w:rFonts w:ascii="Arial"/>
          <w:sz w:val="21"/>
        </w:rPr>
      </w:pPr>
    </w:p>
    <w:p w14:paraId="369CDED3">
      <w:pPr>
        <w:spacing w:line="269" w:lineRule="auto"/>
        <w:rPr>
          <w:rFonts w:ascii="Arial"/>
          <w:sz w:val="21"/>
        </w:rPr>
      </w:pPr>
    </w:p>
    <w:p w14:paraId="21D1003A">
      <w:pPr>
        <w:pStyle w:val="2"/>
        <w:spacing w:before="87" w:line="189" w:lineRule="auto"/>
      </w:pPr>
      <w:r>
        <w:rPr>
          <w:color w:val="231F20"/>
          <w:spacing w:val="7"/>
          <w:u w:val="single" w:color="auto"/>
        </w:rPr>
        <w:t>考试地点</w:t>
      </w:r>
    </w:p>
    <w:p w14:paraId="373EE6ED">
      <w:pPr>
        <w:pStyle w:val="2"/>
        <w:spacing w:before="111" w:line="229" w:lineRule="auto"/>
        <w:ind w:left="11" w:right="182" w:firstLine="472"/>
      </w:pPr>
      <w:r>
        <w:rPr>
          <w:color w:val="231F20"/>
          <w:spacing w:val="13"/>
        </w:rPr>
        <w:t>北京、上海、广州、深圳、成都、石家庄、西</w:t>
      </w:r>
      <w:r>
        <w:rPr>
          <w:color w:val="231F20"/>
          <w:spacing w:val="12"/>
        </w:rPr>
        <w:t>安、</w:t>
      </w:r>
      <w:r>
        <w:rPr>
          <w:rFonts w:hint="eastAsia"/>
          <w:color w:val="231F20"/>
          <w:spacing w:val="12"/>
          <w:lang w:eastAsia="zh-CN"/>
        </w:rPr>
        <w:t>宝鸡</w:t>
      </w:r>
      <w:r>
        <w:rPr>
          <w:color w:val="231F20"/>
          <w:spacing w:val="12"/>
        </w:rPr>
        <w:t>、郑州</w:t>
      </w:r>
      <w:r>
        <w:rPr>
          <w:color w:val="231F20"/>
          <w:spacing w:val="-23"/>
        </w:rPr>
        <w:t xml:space="preserve"> </w:t>
      </w:r>
      <w:r>
        <w:rPr>
          <w:color w:val="231F20"/>
          <w:spacing w:val="12"/>
        </w:rPr>
        <w:t>，兰州</w:t>
      </w:r>
      <w:r>
        <w:rPr>
          <w:color w:val="231F20"/>
          <w:spacing w:val="6"/>
        </w:rPr>
        <w:t>等城市。</w:t>
      </w:r>
    </w:p>
    <w:p w14:paraId="5E3F5287">
      <w:pPr>
        <w:pStyle w:val="2"/>
        <w:spacing w:before="3" w:line="220" w:lineRule="auto"/>
        <w:ind w:left="27" w:right="78" w:firstLine="456"/>
      </w:pPr>
      <w:r>
        <w:rPr>
          <w:color w:val="231F20"/>
          <w:spacing w:val="14"/>
        </w:rPr>
        <w:t>每期考试最终考点详见</w:t>
      </w:r>
      <w:r>
        <w:rPr>
          <w:color w:val="333333"/>
          <w:sz w:val="22"/>
          <w:szCs w:val="22"/>
        </w:rPr>
        <w:t>FRR</w:t>
      </w:r>
      <w:r>
        <w:rPr>
          <w:color w:val="333333"/>
          <w:spacing w:val="14"/>
          <w:sz w:val="22"/>
          <w:szCs w:val="22"/>
        </w:rPr>
        <w:t>项目全国运营中心官网</w:t>
      </w:r>
      <w:r>
        <w:fldChar w:fldCharType="begin"/>
      </w:r>
      <w:r>
        <w:instrText xml:space="preserve"> HYPERLINK "https://www.frr.net.cn/" </w:instrText>
      </w:r>
      <w:r>
        <w:fldChar w:fldCharType="separate"/>
      </w:r>
      <w:r>
        <w:rPr>
          <w:color w:val="333333"/>
          <w:sz w:val="22"/>
          <w:szCs w:val="22"/>
        </w:rPr>
        <w:t>https</w:t>
      </w:r>
      <w:r>
        <w:rPr>
          <w:color w:val="333333"/>
          <w:spacing w:val="14"/>
          <w:sz w:val="22"/>
          <w:szCs w:val="22"/>
        </w:rPr>
        <w:t>://</w:t>
      </w:r>
      <w:r>
        <w:rPr>
          <w:color w:val="333333"/>
          <w:sz w:val="22"/>
          <w:szCs w:val="22"/>
        </w:rPr>
        <w:t>www</w:t>
      </w:r>
      <w:r>
        <w:rPr>
          <w:color w:val="333333"/>
          <w:spacing w:val="14"/>
          <w:sz w:val="22"/>
          <w:szCs w:val="22"/>
        </w:rPr>
        <w:t>.</w:t>
      </w:r>
      <w:r>
        <w:rPr>
          <w:color w:val="333333"/>
          <w:sz w:val="22"/>
          <w:szCs w:val="22"/>
        </w:rPr>
        <w:t>frr</w:t>
      </w:r>
      <w:r>
        <w:rPr>
          <w:color w:val="333333"/>
          <w:spacing w:val="14"/>
          <w:sz w:val="22"/>
          <w:szCs w:val="22"/>
        </w:rPr>
        <w:t>.</w:t>
      </w:r>
      <w:r>
        <w:rPr>
          <w:color w:val="333333"/>
          <w:sz w:val="22"/>
          <w:szCs w:val="22"/>
        </w:rPr>
        <w:t>net</w:t>
      </w:r>
      <w:r>
        <w:rPr>
          <w:color w:val="333333"/>
          <w:spacing w:val="14"/>
          <w:sz w:val="22"/>
          <w:szCs w:val="22"/>
        </w:rPr>
        <w:t>.</w:t>
      </w:r>
      <w:r>
        <w:rPr>
          <w:color w:val="333333"/>
          <w:sz w:val="22"/>
          <w:szCs w:val="22"/>
        </w:rPr>
        <w:t>cn</w:t>
      </w:r>
      <w:r>
        <w:rPr>
          <w:color w:val="333333"/>
          <w:spacing w:val="14"/>
          <w:sz w:val="22"/>
          <w:szCs w:val="22"/>
        </w:rPr>
        <w:t>/</w:t>
      </w:r>
      <w:r>
        <w:rPr>
          <w:color w:val="333333"/>
          <w:spacing w:val="14"/>
          <w:sz w:val="22"/>
          <w:szCs w:val="22"/>
        </w:rPr>
        <w:fldChar w:fldCharType="end"/>
      </w:r>
      <w:r>
        <w:rPr>
          <w:color w:val="333333"/>
          <w:spacing w:val="14"/>
          <w:sz w:val="22"/>
          <w:szCs w:val="22"/>
        </w:rPr>
        <w:t>或</w:t>
      </w:r>
      <w:r>
        <w:rPr>
          <w:color w:val="333333"/>
          <w:spacing w:val="12"/>
          <w:sz w:val="22"/>
          <w:szCs w:val="22"/>
        </w:rPr>
        <w:t xml:space="preserve"> </w:t>
      </w:r>
      <w:r>
        <w:rPr>
          <w:color w:val="333333"/>
          <w:sz w:val="22"/>
          <w:szCs w:val="22"/>
        </w:rPr>
        <w:t>FRR</w:t>
      </w:r>
      <w:r>
        <w:rPr>
          <w:color w:val="333333"/>
          <w:spacing w:val="7"/>
          <w:sz w:val="22"/>
          <w:szCs w:val="22"/>
        </w:rPr>
        <w:t>项目运营中</w:t>
      </w:r>
      <w:r>
        <w:rPr>
          <w:rFonts w:hint="eastAsia" w:ascii="微软雅黑" w:hAnsi="微软雅黑" w:eastAsia="微软雅黑" w:cs="微软雅黑"/>
          <w:sz w:val="71"/>
          <w:szCs w:val="71"/>
          <w:lang w:eastAsia="zh-CN"/>
        </w:rPr>
        <w:drawing>
          <wp:anchor distT="0" distB="0" distL="114300" distR="114300" simplePos="0" relativeHeight="251689984" behindDoc="0" locked="0" layoutInCell="1" allowOverlap="1">
            <wp:simplePos x="0" y="0"/>
            <wp:positionH relativeFrom="column">
              <wp:posOffset>-712470</wp:posOffset>
            </wp:positionH>
            <wp:positionV relativeFrom="paragraph">
              <wp:posOffset>2356485</wp:posOffset>
            </wp:positionV>
            <wp:extent cx="6795770" cy="384810"/>
            <wp:effectExtent l="0" t="0" r="1270" b="11430"/>
            <wp:wrapNone/>
            <wp:docPr id="5" name="图片 5" descr="文字文稿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文字文稿1_01"/>
                    <pic:cNvPicPr>
                      <a:picLocks noChangeAspect="1"/>
                    </pic:cNvPicPr>
                  </pic:nvPicPr>
                  <pic:blipFill>
                    <a:blip r:embed="rId36">
                      <a:lum contrast="6000"/>
                    </a:blip>
                    <a:srcRect t="96008"/>
                    <a:stretch>
                      <a:fillRect/>
                    </a:stretch>
                  </pic:blipFill>
                  <pic:spPr>
                    <a:xfrm>
                      <a:off x="0" y="0"/>
                      <a:ext cx="6795770" cy="384810"/>
                    </a:xfrm>
                    <a:prstGeom prst="rect">
                      <a:avLst/>
                    </a:prstGeom>
                  </pic:spPr>
                </pic:pic>
              </a:graphicData>
            </a:graphic>
          </wp:anchor>
        </w:drawing>
      </w:r>
      <w:r>
        <w:rPr>
          <w:color w:val="333333"/>
          <w:spacing w:val="7"/>
          <w:sz w:val="22"/>
          <w:szCs w:val="22"/>
        </w:rPr>
        <w:t xml:space="preserve">心公众号 </w:t>
      </w:r>
      <w:r>
        <w:rPr>
          <w:color w:val="231F20"/>
          <w:spacing w:val="7"/>
        </w:rPr>
        <w:t>公布）。</w:t>
      </w:r>
    </w:p>
    <w:p w14:paraId="2D6F2646">
      <w:pPr>
        <w:spacing w:line="220" w:lineRule="auto"/>
        <w:sectPr>
          <w:footerReference r:id="rId9" w:type="default"/>
          <w:pgSz w:w="10660" w:h="15081"/>
          <w:pgMar w:top="1215" w:right="1337" w:bottom="325" w:left="1139" w:header="0" w:footer="0" w:gutter="0"/>
          <w:cols w:space="720" w:num="1"/>
        </w:sectPr>
      </w:pPr>
    </w:p>
    <w:p w14:paraId="01694EF3">
      <w:pPr>
        <w:pStyle w:val="2"/>
        <w:spacing w:before="202" w:line="187" w:lineRule="auto"/>
        <w:ind w:left="6"/>
        <w:rPr>
          <w:sz w:val="49"/>
          <w:szCs w:val="49"/>
        </w:rPr>
      </w:pPr>
      <w:r>
        <w:rPr>
          <w:color w:val="7F7F7F"/>
          <w:spacing w:val="5"/>
          <w:sz w:val="49"/>
          <w:szCs w:val="49"/>
        </w:rPr>
        <w:t>报考流程</w:t>
      </w:r>
    </w:p>
    <w:p w14:paraId="58089531">
      <w:pPr>
        <w:spacing w:line="331" w:lineRule="auto"/>
        <w:rPr>
          <w:rFonts w:ascii="Arial"/>
          <w:sz w:val="21"/>
        </w:rPr>
      </w:pPr>
    </w:p>
    <w:p w14:paraId="3ECC6BB3">
      <w:pPr>
        <w:pStyle w:val="2"/>
        <w:spacing w:before="95" w:line="231" w:lineRule="auto"/>
        <w:ind w:left="1" w:right="153"/>
      </w:pPr>
      <w:r>
        <w:rPr>
          <w:color w:val="231F20"/>
          <w:spacing w:val="9"/>
        </w:rPr>
        <w:t>考生可向</w:t>
      </w:r>
      <w:r>
        <w:rPr>
          <w:color w:val="333333"/>
          <w:sz w:val="22"/>
          <w:szCs w:val="22"/>
        </w:rPr>
        <w:t>FRR</w:t>
      </w:r>
      <w:r>
        <w:rPr>
          <w:color w:val="333333"/>
          <w:spacing w:val="9"/>
          <w:sz w:val="22"/>
          <w:szCs w:val="22"/>
        </w:rPr>
        <w:t>各授权合作推广机构或</w:t>
      </w:r>
      <w:r>
        <w:rPr>
          <w:color w:val="231F20"/>
          <w:spacing w:val="9"/>
        </w:rPr>
        <w:t>致电</w:t>
      </w:r>
      <w:r>
        <w:rPr>
          <w:color w:val="333333"/>
          <w:sz w:val="22"/>
          <w:szCs w:val="22"/>
        </w:rPr>
        <w:t>FRR</w:t>
      </w:r>
      <w:r>
        <w:rPr>
          <w:color w:val="333333"/>
          <w:spacing w:val="9"/>
          <w:sz w:val="22"/>
          <w:szCs w:val="22"/>
        </w:rPr>
        <w:t>项目全国运营</w:t>
      </w:r>
      <w:r>
        <w:rPr>
          <w:color w:val="333333"/>
          <w:spacing w:val="8"/>
          <w:sz w:val="22"/>
          <w:szCs w:val="22"/>
        </w:rPr>
        <w:t>中心4006186078咨询</w:t>
      </w:r>
      <w:r>
        <w:rPr>
          <w:color w:val="231F20"/>
          <w:spacing w:val="8"/>
        </w:rPr>
        <w:t>并</w:t>
      </w:r>
      <w:r>
        <w:rPr>
          <w:color w:val="231F20"/>
        </w:rPr>
        <w:t xml:space="preserve"> </w:t>
      </w:r>
      <w:r>
        <w:rPr>
          <w:color w:val="231F20"/>
          <w:spacing w:val="3"/>
        </w:rPr>
        <w:t>按照以下流程进行报考</w:t>
      </w:r>
      <w:r>
        <w:rPr>
          <w:rFonts w:hint="eastAsia"/>
          <w:color w:val="231F20"/>
          <w:spacing w:val="3"/>
          <w:lang w:eastAsia="zh-CN"/>
        </w:rPr>
        <w:t>：</w:t>
      </w:r>
    </w:p>
    <w:p w14:paraId="67F85F20">
      <w:pPr>
        <w:spacing w:line="258" w:lineRule="auto"/>
        <w:rPr>
          <w:rFonts w:ascii="Arial"/>
          <w:sz w:val="21"/>
        </w:rPr>
      </w:pPr>
    </w:p>
    <w:p w14:paraId="5B8FA3F9">
      <w:pPr>
        <w:pStyle w:val="2"/>
        <w:spacing w:before="86" w:line="237" w:lineRule="auto"/>
        <w:ind w:left="18"/>
      </w:pPr>
      <w:r>
        <w:rPr>
          <w:b/>
          <w:bCs/>
          <w:spacing w:val="7"/>
        </w:rPr>
        <w:t>1.确认</w:t>
      </w:r>
      <w:r>
        <w:rPr>
          <w:b/>
          <w:bCs/>
          <w:spacing w:val="-17"/>
        </w:rPr>
        <w:t xml:space="preserve"> </w:t>
      </w:r>
      <w:r>
        <w:rPr>
          <w:b/>
          <w:bCs/>
          <w:spacing w:val="7"/>
        </w:rPr>
        <w:t>：</w:t>
      </w:r>
      <w:r>
        <w:rPr>
          <w:spacing w:val="7"/>
        </w:rPr>
        <w:t>经向</w:t>
      </w:r>
      <w:r>
        <w:t>FRR</w:t>
      </w:r>
      <w:r>
        <w:rPr>
          <w:spacing w:val="7"/>
        </w:rPr>
        <w:t>项目全国运营中心授权的推广培训机构咨询、</w:t>
      </w:r>
      <w:r>
        <w:rPr>
          <w:spacing w:val="-37"/>
        </w:rPr>
        <w:t xml:space="preserve"> </w:t>
      </w:r>
      <w:r>
        <w:rPr>
          <w:spacing w:val="7"/>
        </w:rPr>
        <w:t>了解</w:t>
      </w:r>
      <w:r>
        <w:rPr>
          <w:spacing w:val="-26"/>
        </w:rPr>
        <w:t xml:space="preserve"> </w:t>
      </w:r>
      <w:r>
        <w:rPr>
          <w:spacing w:val="7"/>
        </w:rPr>
        <w:t>，确认报考</w:t>
      </w:r>
      <w:r>
        <w:t>FRR</w:t>
      </w:r>
      <w:r>
        <w:rPr>
          <w:spacing w:val="7"/>
        </w:rPr>
        <w:t xml:space="preserve"> 。</w:t>
      </w:r>
    </w:p>
    <w:p w14:paraId="1EB88759">
      <w:pPr>
        <w:pStyle w:val="2"/>
        <w:spacing w:before="200" w:line="238" w:lineRule="auto"/>
        <w:ind w:left="10"/>
      </w:pPr>
      <w:r>
        <w:rPr>
          <w:b/>
          <w:bCs/>
          <w:spacing w:val="8"/>
        </w:rPr>
        <w:t>2.报名：</w:t>
      </w:r>
      <w:r>
        <w:rPr>
          <w:b/>
          <w:bCs/>
          <w:spacing w:val="-21"/>
        </w:rPr>
        <w:t xml:space="preserve"> </w:t>
      </w:r>
      <w:r>
        <w:rPr>
          <w:spacing w:val="8"/>
        </w:rPr>
        <w:t>向</w:t>
      </w:r>
      <w:r>
        <w:t>FRR</w:t>
      </w:r>
      <w:r>
        <w:rPr>
          <w:spacing w:val="8"/>
        </w:rPr>
        <w:t>授权推广培训机构索要《</w:t>
      </w:r>
      <w:r>
        <w:rPr>
          <w:spacing w:val="-21"/>
        </w:rPr>
        <w:t xml:space="preserve"> </w:t>
      </w:r>
      <w:r>
        <w:t>FRR</w:t>
      </w:r>
      <w:r>
        <w:rPr>
          <w:spacing w:val="8"/>
        </w:rPr>
        <w:t>考生报名信息表》详实填写并提交个人资料。</w:t>
      </w:r>
    </w:p>
    <w:p w14:paraId="26492DC9">
      <w:pPr>
        <w:pStyle w:val="2"/>
        <w:spacing w:before="200" w:line="233" w:lineRule="auto"/>
        <w:ind w:left="15"/>
      </w:pPr>
      <w:r>
        <w:rPr>
          <w:b/>
          <w:bCs/>
          <w:spacing w:val="8"/>
        </w:rPr>
        <w:t>3.缴费：</w:t>
      </w:r>
      <w:r>
        <w:rPr>
          <w:b/>
          <w:bCs/>
          <w:spacing w:val="-34"/>
        </w:rPr>
        <w:t xml:space="preserve"> </w:t>
      </w:r>
      <w:r>
        <w:rPr>
          <w:spacing w:val="8"/>
        </w:rPr>
        <w:t>向</w:t>
      </w:r>
      <w:r>
        <w:t>FRR</w:t>
      </w:r>
      <w:r>
        <w:rPr>
          <w:spacing w:val="8"/>
        </w:rPr>
        <w:t>授权推广培训机构缴付报考学费</w:t>
      </w:r>
      <w:r>
        <w:rPr>
          <w:spacing w:val="7"/>
        </w:rPr>
        <w:t>16800元/人（全国统一）。</w:t>
      </w:r>
    </w:p>
    <w:p w14:paraId="44A96D16">
      <w:pPr>
        <w:pStyle w:val="2"/>
        <w:spacing w:before="207" w:line="237" w:lineRule="auto"/>
        <w:ind w:left="2"/>
      </w:pPr>
      <w:r>
        <w:rPr>
          <w:b/>
          <w:bCs/>
          <w:spacing w:val="9"/>
        </w:rPr>
        <w:t>4.教材：</w:t>
      </w:r>
      <w:r>
        <w:rPr>
          <w:b/>
          <w:bCs/>
          <w:spacing w:val="-31"/>
        </w:rPr>
        <w:t xml:space="preserve"> </w:t>
      </w:r>
      <w:r>
        <w:t>FRR</w:t>
      </w:r>
      <w:r>
        <w:rPr>
          <w:spacing w:val="9"/>
        </w:rPr>
        <w:t>授权推广培训机构为报考学员快</w:t>
      </w:r>
      <w:r>
        <w:rPr>
          <w:spacing w:val="8"/>
        </w:rPr>
        <w:t>递四本专业教材。</w:t>
      </w:r>
    </w:p>
    <w:p w14:paraId="2B67CA15">
      <w:pPr>
        <w:pStyle w:val="2"/>
        <w:spacing w:before="201" w:line="237" w:lineRule="auto"/>
        <w:ind w:left="16"/>
      </w:pPr>
      <w:r>
        <w:rPr>
          <w:b/>
          <w:bCs/>
          <w:spacing w:val="7"/>
        </w:rPr>
        <w:t>5.学习</w:t>
      </w:r>
      <w:r>
        <w:rPr>
          <w:b/>
          <w:bCs/>
          <w:spacing w:val="-24"/>
        </w:rPr>
        <w:t xml:space="preserve"> </w:t>
      </w:r>
      <w:r>
        <w:rPr>
          <w:b/>
          <w:bCs/>
          <w:spacing w:val="7"/>
        </w:rPr>
        <w:t>：</w:t>
      </w:r>
      <w:r>
        <w:rPr>
          <w:spacing w:val="7"/>
        </w:rPr>
        <w:t>经授权推广机构申请</w:t>
      </w:r>
      <w:r>
        <w:rPr>
          <w:spacing w:val="-28"/>
        </w:rPr>
        <w:t xml:space="preserve"> </w:t>
      </w:r>
      <w:r>
        <w:rPr>
          <w:spacing w:val="7"/>
        </w:rPr>
        <w:t>，</w:t>
      </w:r>
      <w:r>
        <w:rPr>
          <w:spacing w:val="-30"/>
        </w:rPr>
        <w:t xml:space="preserve"> </w:t>
      </w:r>
      <w:r>
        <w:t>FRR</w:t>
      </w:r>
      <w:r>
        <w:rPr>
          <w:spacing w:val="7"/>
        </w:rPr>
        <w:t>项目全国运营中心为报考学员开通线上课程学习账号。</w:t>
      </w:r>
    </w:p>
    <w:p w14:paraId="298F7625">
      <w:pPr>
        <w:pStyle w:val="2"/>
        <w:spacing w:before="204" w:line="237" w:lineRule="auto"/>
        <w:ind w:left="10"/>
      </w:pPr>
      <w:r>
        <w:rPr>
          <w:b/>
          <w:bCs/>
          <w:spacing w:val="8"/>
        </w:rPr>
        <w:t>6.集训</w:t>
      </w:r>
      <w:r>
        <w:rPr>
          <w:b/>
          <w:bCs/>
          <w:spacing w:val="-13"/>
        </w:rPr>
        <w:t xml:space="preserve"> </w:t>
      </w:r>
      <w:r>
        <w:rPr>
          <w:b/>
          <w:bCs/>
          <w:spacing w:val="8"/>
        </w:rPr>
        <w:t>：</w:t>
      </w:r>
      <w:r>
        <w:rPr>
          <w:spacing w:val="8"/>
        </w:rPr>
        <w:t>学员按</w:t>
      </w:r>
      <w:r>
        <w:t>FRR</w:t>
      </w:r>
      <w:r>
        <w:rPr>
          <w:spacing w:val="8"/>
        </w:rPr>
        <w:t>授权推广机构的要求参加线上/线下课程或考前集训学习。</w:t>
      </w:r>
    </w:p>
    <w:p w14:paraId="3CEF9EE9">
      <w:pPr>
        <w:pStyle w:val="2"/>
        <w:spacing w:before="200" w:line="299" w:lineRule="auto"/>
        <w:ind w:left="842" w:right="266" w:hanging="834"/>
      </w:pPr>
      <w:r>
        <w:rPr>
          <w:b/>
          <w:bCs/>
          <w:spacing w:val="8"/>
        </w:rPr>
        <w:t>7.申请</w:t>
      </w:r>
      <w:r>
        <w:rPr>
          <w:b/>
          <w:bCs/>
          <w:spacing w:val="-16"/>
        </w:rPr>
        <w:t xml:space="preserve"> </w:t>
      </w:r>
      <w:r>
        <w:rPr>
          <w:b/>
          <w:bCs/>
          <w:spacing w:val="8"/>
        </w:rPr>
        <w:t>：</w:t>
      </w:r>
      <w:r>
        <w:rPr>
          <w:spacing w:val="8"/>
        </w:rPr>
        <w:t>根据考试计划</w:t>
      </w:r>
      <w:r>
        <w:rPr>
          <w:spacing w:val="-26"/>
        </w:rPr>
        <w:t xml:space="preserve"> </w:t>
      </w:r>
      <w:r>
        <w:rPr>
          <w:spacing w:val="8"/>
        </w:rPr>
        <w:t>，考生申请参加授权机构的专场考试或</w:t>
      </w:r>
      <w:r>
        <w:t>GARP</w:t>
      </w:r>
      <w:r>
        <w:rPr>
          <w:spacing w:val="8"/>
        </w:rPr>
        <w:t>中国官方认证办公室</w:t>
      </w:r>
      <w:r>
        <w:t xml:space="preserve"> </w:t>
      </w:r>
      <w:r>
        <w:rPr>
          <w:spacing w:val="8"/>
        </w:rPr>
        <w:t>组织的全国统考。</w:t>
      </w:r>
    </w:p>
    <w:p w14:paraId="14FD8742">
      <w:pPr>
        <w:pStyle w:val="2"/>
        <w:spacing w:before="225" w:line="299" w:lineRule="auto"/>
        <w:ind w:left="849" w:right="357" w:hanging="842"/>
      </w:pPr>
      <w:r>
        <w:rPr>
          <w:b/>
          <w:bCs/>
          <w:spacing w:val="7"/>
        </w:rPr>
        <w:t>8.核对</w:t>
      </w:r>
      <w:r>
        <w:rPr>
          <w:b/>
          <w:bCs/>
          <w:spacing w:val="-16"/>
        </w:rPr>
        <w:t xml:space="preserve"> </w:t>
      </w:r>
      <w:r>
        <w:rPr>
          <w:b/>
          <w:bCs/>
          <w:spacing w:val="7"/>
        </w:rPr>
        <w:t>：</w:t>
      </w:r>
      <w:r>
        <w:rPr>
          <w:spacing w:val="7"/>
        </w:rPr>
        <w:t>收到考生注册信息确认通知</w:t>
      </w:r>
      <w:r>
        <w:rPr>
          <w:rFonts w:hint="eastAsia"/>
          <w:spacing w:val="7"/>
          <w:lang w:eastAsia="zh-CN"/>
        </w:rPr>
        <w:t>（</w:t>
      </w:r>
      <w:r>
        <w:rPr>
          <w:spacing w:val="7"/>
        </w:rPr>
        <w:t>考试报名截止后/考试日期前10天左右</w:t>
      </w:r>
      <w:r>
        <w:rPr>
          <w:rFonts w:hint="eastAsia"/>
          <w:spacing w:val="7"/>
          <w:lang w:eastAsia="zh-CN"/>
        </w:rPr>
        <w:t>）</w:t>
      </w:r>
      <w:r>
        <w:rPr>
          <w:spacing w:val="-25"/>
        </w:rPr>
        <w:t xml:space="preserve"> </w:t>
      </w:r>
      <w:r>
        <w:rPr>
          <w:spacing w:val="7"/>
        </w:rPr>
        <w:t>，用通知中</w:t>
      </w:r>
      <w:r>
        <w:t xml:space="preserve"> </w:t>
      </w:r>
      <w:r>
        <w:rPr>
          <w:spacing w:val="9"/>
        </w:rPr>
        <w:t>的登录名称和密码登录</w:t>
      </w:r>
      <w:r>
        <w:t>FRR</w:t>
      </w:r>
      <w:r>
        <w:rPr>
          <w:spacing w:val="9"/>
        </w:rPr>
        <w:t>考试官网、核对个人信息。</w:t>
      </w:r>
    </w:p>
    <w:p w14:paraId="45B6424A">
      <w:pPr>
        <w:pStyle w:val="2"/>
        <w:spacing w:before="225" w:line="306" w:lineRule="auto"/>
        <w:ind w:left="841" w:right="240" w:hanging="834"/>
      </w:pPr>
      <w:r>
        <w:rPr>
          <w:b/>
          <w:bCs/>
          <w:spacing w:val="7"/>
        </w:rPr>
        <w:t>9.考试</w:t>
      </w:r>
      <w:r>
        <w:rPr>
          <w:b/>
          <w:bCs/>
          <w:spacing w:val="-17"/>
        </w:rPr>
        <w:t xml:space="preserve"> </w:t>
      </w:r>
      <w:r>
        <w:rPr>
          <w:b/>
          <w:bCs/>
          <w:spacing w:val="7"/>
        </w:rPr>
        <w:t>：</w:t>
      </w:r>
      <w:r>
        <w:rPr>
          <w:spacing w:val="7"/>
        </w:rPr>
        <w:t>根据考试通知</w:t>
      </w:r>
      <w:r>
        <w:rPr>
          <w:spacing w:val="-26"/>
        </w:rPr>
        <w:t xml:space="preserve"> </w:t>
      </w:r>
      <w:r>
        <w:rPr>
          <w:spacing w:val="7"/>
        </w:rPr>
        <w:t>，用通知中的登录名称和密码登录</w:t>
      </w:r>
      <w:r>
        <w:t>FRR</w:t>
      </w:r>
      <w:r>
        <w:rPr>
          <w:spacing w:val="7"/>
        </w:rPr>
        <w:t>考试官网</w:t>
      </w:r>
      <w:r>
        <w:rPr>
          <w:spacing w:val="-25"/>
        </w:rPr>
        <w:t xml:space="preserve"> </w:t>
      </w:r>
      <w:r>
        <w:rPr>
          <w:spacing w:val="7"/>
        </w:rPr>
        <w:t>，下载、打印准考</w:t>
      </w:r>
      <w:r>
        <w:t xml:space="preserve"> </w:t>
      </w:r>
      <w:r>
        <w:rPr>
          <w:spacing w:val="8"/>
        </w:rPr>
        <w:t>证</w:t>
      </w:r>
      <w:r>
        <w:rPr>
          <w:rFonts w:hint="eastAsia"/>
          <w:spacing w:val="8"/>
          <w:lang w:eastAsia="zh-CN"/>
        </w:rPr>
        <w:t>（</w:t>
      </w:r>
      <w:r>
        <w:rPr>
          <w:spacing w:val="8"/>
        </w:rPr>
        <w:t>考试日期前一周左右</w:t>
      </w:r>
      <w:r>
        <w:rPr>
          <w:rFonts w:hint="eastAsia"/>
          <w:spacing w:val="8"/>
          <w:lang w:eastAsia="zh-CN"/>
        </w:rPr>
        <w:t>）</w:t>
      </w:r>
      <w:r>
        <w:rPr>
          <w:spacing w:val="-28"/>
        </w:rPr>
        <w:t xml:space="preserve"> </w:t>
      </w:r>
      <w:r>
        <w:rPr>
          <w:spacing w:val="8"/>
        </w:rPr>
        <w:t>，持身份证和准</w:t>
      </w:r>
      <w:r>
        <w:rPr>
          <w:spacing w:val="7"/>
        </w:rPr>
        <w:t>考证参加考试。</w:t>
      </w:r>
    </w:p>
    <w:p w14:paraId="7C183475">
      <w:pPr>
        <w:pStyle w:val="2"/>
        <w:spacing w:before="208" w:line="233" w:lineRule="auto"/>
        <w:ind w:left="18"/>
      </w:pPr>
      <w:r>
        <w:rPr>
          <w:b/>
          <w:bCs/>
          <w:spacing w:val="8"/>
        </w:rPr>
        <w:t>10.查询</w:t>
      </w:r>
      <w:r>
        <w:rPr>
          <w:b/>
          <w:bCs/>
          <w:spacing w:val="-23"/>
        </w:rPr>
        <w:t xml:space="preserve"> </w:t>
      </w:r>
      <w:r>
        <w:rPr>
          <w:b/>
          <w:bCs/>
          <w:spacing w:val="8"/>
        </w:rPr>
        <w:t>：</w:t>
      </w:r>
      <w:r>
        <w:rPr>
          <w:spacing w:val="8"/>
        </w:rPr>
        <w:t>根据通知（考试结束后7个工作日左右）登录</w:t>
      </w:r>
      <w:r>
        <w:t>FRR</w:t>
      </w:r>
      <w:r>
        <w:rPr>
          <w:spacing w:val="8"/>
        </w:rPr>
        <w:t>考试官网查询成绩。</w:t>
      </w:r>
    </w:p>
    <w:p w14:paraId="3CFDAE8E">
      <w:pPr>
        <w:pStyle w:val="2"/>
        <w:spacing w:before="207" w:line="237" w:lineRule="auto"/>
        <w:ind w:left="18"/>
      </w:pPr>
      <w:r>
        <w:rPr>
          <w:b/>
          <w:bCs/>
          <w:spacing w:val="7"/>
        </w:rPr>
        <w:t>11.证书</w:t>
      </w:r>
      <w:r>
        <w:rPr>
          <w:b/>
          <w:bCs/>
          <w:spacing w:val="-14"/>
        </w:rPr>
        <w:t xml:space="preserve"> </w:t>
      </w:r>
      <w:r>
        <w:rPr>
          <w:b/>
          <w:bCs/>
          <w:spacing w:val="7"/>
        </w:rPr>
        <w:t>：</w:t>
      </w:r>
      <w:r>
        <w:rPr>
          <w:spacing w:val="7"/>
        </w:rPr>
        <w:t>考生考试合格即为通过考试</w:t>
      </w:r>
      <w:r>
        <w:rPr>
          <w:spacing w:val="-25"/>
        </w:rPr>
        <w:t xml:space="preserve"> </w:t>
      </w:r>
      <w:r>
        <w:rPr>
          <w:spacing w:val="7"/>
        </w:rPr>
        <w:t>，证书由</w:t>
      </w:r>
      <w:r>
        <w:t>FRR</w:t>
      </w:r>
      <w:r>
        <w:rPr>
          <w:spacing w:val="7"/>
        </w:rPr>
        <w:t>授权推广培训机构快递至考生。</w:t>
      </w:r>
    </w:p>
    <w:p w14:paraId="1E27F178">
      <w:pPr>
        <w:pStyle w:val="2"/>
        <w:spacing w:before="199" w:line="350" w:lineRule="auto"/>
        <w:ind w:firstLine="18"/>
      </w:pPr>
      <w:r>
        <w:rPr>
          <w:b/>
          <w:bCs/>
          <w:spacing w:val="15"/>
        </w:rPr>
        <w:t>12.提示</w:t>
      </w:r>
      <w:r>
        <w:rPr>
          <w:spacing w:val="15"/>
        </w:rPr>
        <w:t>：</w:t>
      </w:r>
      <w:r>
        <w:rPr>
          <w:color w:val="333333"/>
          <w:spacing w:val="15"/>
        </w:rPr>
        <w:t>为保护广大考生的利益</w:t>
      </w:r>
      <w:r>
        <w:rPr>
          <w:color w:val="333333"/>
          <w:spacing w:val="-21"/>
        </w:rPr>
        <w:t xml:space="preserve"> </w:t>
      </w:r>
      <w:r>
        <w:rPr>
          <w:color w:val="333333"/>
          <w:spacing w:val="15"/>
        </w:rPr>
        <w:t>，请报考</w:t>
      </w:r>
      <w:r>
        <w:rPr>
          <w:color w:val="333333"/>
          <w:spacing w:val="14"/>
        </w:rPr>
        <w:t>金融风险与监管证书</w:t>
      </w:r>
      <w:r>
        <w:rPr>
          <w:rFonts w:hint="eastAsia"/>
          <w:color w:val="333333"/>
          <w:spacing w:val="14"/>
          <w:lang w:eastAsia="zh-CN"/>
        </w:rPr>
        <w:t>（</w:t>
      </w:r>
      <w:r>
        <w:rPr>
          <w:color w:val="333333"/>
        </w:rPr>
        <w:t>FRR</w:t>
      </w:r>
      <w:r>
        <w:rPr>
          <w:rFonts w:hint="eastAsia"/>
          <w:color w:val="333333"/>
          <w:lang w:eastAsia="zh-CN"/>
        </w:rPr>
        <w:t>）</w:t>
      </w:r>
      <w:r>
        <w:rPr>
          <w:color w:val="333333"/>
          <w:spacing w:val="14"/>
        </w:rPr>
        <w:t>的考生或银行机构</w:t>
      </w:r>
      <w:r>
        <w:rPr>
          <w:color w:val="333333"/>
        </w:rPr>
        <w:t xml:space="preserve">   </w:t>
      </w:r>
      <w:r>
        <w:rPr>
          <w:color w:val="333333"/>
          <w:spacing w:val="18"/>
        </w:rPr>
        <w:t>联系</w:t>
      </w:r>
      <w:r>
        <w:rPr>
          <w:color w:val="333333"/>
        </w:rPr>
        <w:t>FRR</w:t>
      </w:r>
      <w:r>
        <w:rPr>
          <w:color w:val="333333"/>
          <w:spacing w:val="18"/>
        </w:rPr>
        <w:t>证书项目全国运营中心授权的推广培训机构咨询报名</w:t>
      </w:r>
      <w:r>
        <w:rPr>
          <w:color w:val="FF2941"/>
          <w:spacing w:val="18"/>
        </w:rPr>
        <w:t>（在非官</w:t>
      </w:r>
      <w:r>
        <w:rPr>
          <w:color w:val="FF2941"/>
          <w:spacing w:val="17"/>
        </w:rPr>
        <w:t>方授权机构报名</w:t>
      </w:r>
      <w:r>
        <w:rPr>
          <w:color w:val="FF2941"/>
        </w:rPr>
        <w:t xml:space="preserve">    </w:t>
      </w:r>
      <w:r>
        <w:rPr>
          <w:color w:val="FF2941"/>
          <w:spacing w:val="19"/>
        </w:rPr>
        <w:t>将无法获得专业培训和人社部注册并可查询的</w:t>
      </w:r>
      <w:r>
        <w:rPr>
          <w:color w:val="FF2941"/>
        </w:rPr>
        <w:t>FRR</w:t>
      </w:r>
      <w:r>
        <w:rPr>
          <w:color w:val="FF2941"/>
          <w:spacing w:val="19"/>
        </w:rPr>
        <w:t>证书</w:t>
      </w:r>
      <w:r>
        <w:rPr>
          <w:color w:val="FF2941"/>
          <w:spacing w:val="-7"/>
        </w:rPr>
        <w:t>）</w:t>
      </w:r>
      <w:r>
        <w:rPr>
          <w:color w:val="FF2941"/>
          <w:spacing w:val="-1"/>
        </w:rPr>
        <w:t xml:space="preserve"> </w:t>
      </w:r>
      <w:r>
        <w:rPr>
          <w:color w:val="333333"/>
          <w:spacing w:val="-7"/>
        </w:rPr>
        <w:t>，</w:t>
      </w:r>
      <w:r>
        <w:rPr>
          <w:color w:val="333333"/>
          <w:spacing w:val="-23"/>
        </w:rPr>
        <w:t xml:space="preserve"> </w:t>
      </w:r>
      <w:r>
        <w:rPr>
          <w:color w:val="333333"/>
        </w:rPr>
        <w:t>FRR</w:t>
      </w:r>
      <w:r>
        <w:rPr>
          <w:color w:val="333333"/>
          <w:spacing w:val="19"/>
        </w:rPr>
        <w:t>授权机构名录详见</w:t>
      </w:r>
      <w:r>
        <w:rPr>
          <w:color w:val="333333"/>
        </w:rPr>
        <w:t>FRR</w:t>
      </w:r>
      <w:r>
        <w:rPr>
          <w:color w:val="333333"/>
          <w:spacing w:val="19"/>
        </w:rPr>
        <w:t>项</w:t>
      </w:r>
      <w:r>
        <w:rPr>
          <w:color w:val="333333"/>
        </w:rPr>
        <w:t xml:space="preserve"> </w:t>
      </w:r>
      <w:r>
        <w:rPr>
          <w:color w:val="333333"/>
          <w:spacing w:val="20"/>
        </w:rPr>
        <w:t>目全国运营中心官网：</w:t>
      </w:r>
      <w:r>
        <w:rPr>
          <w:color w:val="333333"/>
          <w:spacing w:val="-20"/>
        </w:rPr>
        <w:t xml:space="preserve"> </w:t>
      </w:r>
      <w:r>
        <w:fldChar w:fldCharType="begin"/>
      </w:r>
      <w:r>
        <w:instrText xml:space="preserve"> HYPERLINK "https://www.frr.net.cn" </w:instrText>
      </w:r>
      <w:r>
        <w:fldChar w:fldCharType="separate"/>
      </w:r>
      <w:r>
        <w:rPr>
          <w:b/>
          <w:bCs/>
          <w:color w:val="333333"/>
        </w:rPr>
        <w:t>www</w:t>
      </w:r>
      <w:r>
        <w:rPr>
          <w:b/>
          <w:bCs/>
          <w:color w:val="333333"/>
          <w:spacing w:val="20"/>
        </w:rPr>
        <w:t>.</w:t>
      </w:r>
      <w:r>
        <w:rPr>
          <w:b/>
          <w:bCs/>
          <w:color w:val="333333"/>
        </w:rPr>
        <w:t>frr</w:t>
      </w:r>
      <w:r>
        <w:rPr>
          <w:b/>
          <w:bCs/>
          <w:color w:val="333333"/>
          <w:spacing w:val="20"/>
        </w:rPr>
        <w:t>.</w:t>
      </w:r>
      <w:r>
        <w:rPr>
          <w:b/>
          <w:bCs/>
          <w:color w:val="333333"/>
        </w:rPr>
        <w:t>net</w:t>
      </w:r>
      <w:r>
        <w:rPr>
          <w:b/>
          <w:bCs/>
          <w:color w:val="333333"/>
          <w:spacing w:val="20"/>
        </w:rPr>
        <w:t>.</w:t>
      </w:r>
      <w:r>
        <w:rPr>
          <w:b/>
          <w:bCs/>
          <w:color w:val="333333"/>
        </w:rPr>
        <w:t>cn</w:t>
      </w:r>
      <w:r>
        <w:rPr>
          <w:b/>
          <w:bCs/>
          <w:color w:val="333333"/>
        </w:rPr>
        <w:fldChar w:fldCharType="end"/>
      </w:r>
      <w:r>
        <w:rPr>
          <w:b/>
          <w:bCs/>
          <w:color w:val="333333"/>
          <w:spacing w:val="22"/>
          <w:w w:val="101"/>
        </w:rPr>
        <w:t xml:space="preserve"> </w:t>
      </w:r>
      <w:r>
        <w:rPr>
          <w:color w:val="333333"/>
          <w:spacing w:val="20"/>
        </w:rPr>
        <w:t>、公众号</w:t>
      </w:r>
      <w:r>
        <w:rPr>
          <w:b/>
          <w:bCs/>
          <w:color w:val="333333"/>
        </w:rPr>
        <w:t>FRR</w:t>
      </w:r>
      <w:r>
        <w:rPr>
          <w:b/>
          <w:bCs/>
          <w:color w:val="333333"/>
          <w:spacing w:val="20"/>
        </w:rPr>
        <w:t>项目运营中心</w:t>
      </w:r>
      <w:r>
        <w:rPr>
          <w:color w:val="333333"/>
          <w:spacing w:val="20"/>
        </w:rPr>
        <w:t>“授权合作</w:t>
      </w:r>
      <w:r>
        <w:rPr>
          <w:rFonts w:hint="eastAsia"/>
          <w:color w:val="333333"/>
          <w:spacing w:val="20"/>
          <w:lang w:eastAsia="zh-CN"/>
        </w:rPr>
        <w:t>－</w:t>
      </w:r>
      <w:r>
        <w:rPr>
          <w:color w:val="333333"/>
          <w:spacing w:val="20"/>
        </w:rPr>
        <w:t>授权机</w:t>
      </w:r>
      <w:r>
        <w:rPr>
          <w:color w:val="333333"/>
        </w:rPr>
        <w:t xml:space="preserve"> </w:t>
      </w:r>
      <w:r>
        <w:rPr>
          <w:color w:val="333333"/>
          <w:spacing w:val="9"/>
        </w:rPr>
        <w:t>构名录</w:t>
      </w:r>
      <w:r>
        <w:rPr>
          <w:color w:val="333333"/>
          <w:spacing w:val="-27"/>
        </w:rPr>
        <w:t xml:space="preserve"> </w:t>
      </w:r>
      <w:r>
        <w:rPr>
          <w:color w:val="333333"/>
          <w:spacing w:val="9"/>
        </w:rPr>
        <w:t>”或致电</w:t>
      </w:r>
      <w:r>
        <w:rPr>
          <w:b/>
          <w:bCs/>
          <w:color w:val="333333"/>
          <w:spacing w:val="9"/>
        </w:rPr>
        <w:t>400</w:t>
      </w:r>
      <w:r>
        <w:rPr>
          <w:b/>
          <w:bCs/>
          <w:color w:val="333333"/>
          <w:spacing w:val="34"/>
          <w:w w:val="101"/>
        </w:rPr>
        <w:t xml:space="preserve"> </w:t>
      </w:r>
      <w:r>
        <w:rPr>
          <w:b/>
          <w:bCs/>
          <w:color w:val="333333"/>
          <w:spacing w:val="9"/>
        </w:rPr>
        <w:t>618</w:t>
      </w:r>
      <w:r>
        <w:rPr>
          <w:b/>
          <w:bCs/>
          <w:color w:val="333333"/>
          <w:spacing w:val="34"/>
        </w:rPr>
        <w:t xml:space="preserve"> </w:t>
      </w:r>
      <w:r>
        <w:rPr>
          <w:b/>
          <w:bCs/>
          <w:color w:val="333333"/>
          <w:spacing w:val="9"/>
        </w:rPr>
        <w:t>6078</w:t>
      </w:r>
      <w:r>
        <w:rPr>
          <w:b/>
          <w:bCs/>
          <w:color w:val="333333"/>
          <w:spacing w:val="23"/>
          <w:w w:val="101"/>
        </w:rPr>
        <w:t xml:space="preserve"> </w:t>
      </w:r>
      <w:r>
        <w:rPr>
          <w:color w:val="333333"/>
          <w:spacing w:val="9"/>
        </w:rPr>
        <w:t>查询。</w:t>
      </w:r>
    </w:p>
    <w:p w14:paraId="2BCB6E90">
      <w:pPr>
        <w:spacing w:line="350" w:lineRule="auto"/>
        <w:sectPr>
          <w:footerReference r:id="rId10" w:type="default"/>
          <w:pgSz w:w="10660" w:h="15081"/>
          <w:pgMar w:top="1281" w:right="1152" w:bottom="325" w:left="1133" w:header="0" w:footer="0" w:gutter="0"/>
          <w:cols w:space="720" w:num="1"/>
        </w:sectPr>
      </w:pPr>
      <w:r>
        <w:rPr>
          <w:rFonts w:hint="eastAsia" w:ascii="微软雅黑" w:hAnsi="微软雅黑" w:eastAsia="微软雅黑" w:cs="微软雅黑"/>
          <w:sz w:val="71"/>
          <w:szCs w:val="71"/>
          <w:lang w:eastAsia="zh-CN"/>
        </w:rPr>
        <w:drawing>
          <wp:anchor distT="0" distB="0" distL="114300" distR="114300" simplePos="0" relativeHeight="251691008" behindDoc="0" locked="0" layoutInCell="1" allowOverlap="1">
            <wp:simplePos x="0" y="0"/>
            <wp:positionH relativeFrom="column">
              <wp:posOffset>-708660</wp:posOffset>
            </wp:positionH>
            <wp:positionV relativeFrom="paragraph">
              <wp:posOffset>542925</wp:posOffset>
            </wp:positionV>
            <wp:extent cx="6795770" cy="384810"/>
            <wp:effectExtent l="0" t="0" r="1270" b="11430"/>
            <wp:wrapNone/>
            <wp:docPr id="6" name="图片 6" descr="文字文稿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文字文稿1_01"/>
                    <pic:cNvPicPr>
                      <a:picLocks noChangeAspect="1"/>
                    </pic:cNvPicPr>
                  </pic:nvPicPr>
                  <pic:blipFill>
                    <a:blip r:embed="rId36">
                      <a:lum contrast="6000"/>
                    </a:blip>
                    <a:srcRect t="96008"/>
                    <a:stretch>
                      <a:fillRect/>
                    </a:stretch>
                  </pic:blipFill>
                  <pic:spPr>
                    <a:xfrm>
                      <a:off x="0" y="0"/>
                      <a:ext cx="6795770" cy="384810"/>
                    </a:xfrm>
                    <a:prstGeom prst="rect">
                      <a:avLst/>
                    </a:prstGeom>
                  </pic:spPr>
                </pic:pic>
              </a:graphicData>
            </a:graphic>
          </wp:anchor>
        </w:drawing>
      </w:r>
    </w:p>
    <w:p w14:paraId="1DF57F09">
      <w:pPr>
        <w:pStyle w:val="2"/>
        <w:spacing w:before="96" w:line="186" w:lineRule="auto"/>
        <w:ind w:left="69"/>
        <w:rPr>
          <w:sz w:val="49"/>
          <w:szCs w:val="49"/>
        </w:rPr>
      </w:pPr>
      <w:r>
        <w:rPr>
          <w:color w:val="7F7F7F"/>
          <w:spacing w:val="5"/>
          <w:sz w:val="49"/>
          <w:szCs w:val="49"/>
        </w:rPr>
        <w:t>证书查询</w:t>
      </w:r>
    </w:p>
    <w:p w14:paraId="0C4337C9">
      <w:pPr>
        <w:pStyle w:val="2"/>
        <w:spacing w:before="166" w:line="198" w:lineRule="auto"/>
        <w:ind w:left="5" w:hanging="5"/>
        <w:rPr>
          <w:sz w:val="22"/>
          <w:szCs w:val="22"/>
        </w:rPr>
      </w:pPr>
      <w:r>
        <w:rPr>
          <w:spacing w:val="5"/>
          <w:sz w:val="22"/>
          <w:szCs w:val="22"/>
        </w:rPr>
        <w:t>登录国家人力资源和社会保障部网站：</w:t>
      </w:r>
      <w:r>
        <w:rPr>
          <w:spacing w:val="-18"/>
          <w:sz w:val="22"/>
          <w:szCs w:val="22"/>
        </w:rPr>
        <w:t xml:space="preserve"> </w:t>
      </w:r>
      <w:r>
        <w:fldChar w:fldCharType="begin"/>
      </w:r>
      <w:r>
        <w:instrText xml:space="preserve"> HYPERLINK "http://www.mohrss.gov.cn/" </w:instrText>
      </w:r>
      <w:r>
        <w:fldChar w:fldCharType="separate"/>
      </w:r>
      <w:r>
        <w:rPr>
          <w:sz w:val="22"/>
          <w:szCs w:val="22"/>
        </w:rPr>
        <w:t>http</w:t>
      </w:r>
      <w:r>
        <w:rPr>
          <w:spacing w:val="5"/>
          <w:sz w:val="22"/>
          <w:szCs w:val="22"/>
        </w:rPr>
        <w:t>://</w:t>
      </w:r>
      <w:r>
        <w:rPr>
          <w:sz w:val="22"/>
          <w:szCs w:val="22"/>
        </w:rPr>
        <w:t>www</w:t>
      </w:r>
      <w:r>
        <w:rPr>
          <w:spacing w:val="5"/>
          <w:sz w:val="22"/>
          <w:szCs w:val="22"/>
        </w:rPr>
        <w:t>.</w:t>
      </w:r>
      <w:r>
        <w:rPr>
          <w:sz w:val="22"/>
          <w:szCs w:val="22"/>
        </w:rPr>
        <w:t>mohrss</w:t>
      </w:r>
      <w:r>
        <w:rPr>
          <w:spacing w:val="5"/>
          <w:sz w:val="22"/>
          <w:szCs w:val="22"/>
        </w:rPr>
        <w:t>.</w:t>
      </w:r>
      <w:r>
        <w:rPr>
          <w:sz w:val="22"/>
          <w:szCs w:val="22"/>
        </w:rPr>
        <w:t>gov</w:t>
      </w:r>
      <w:r>
        <w:rPr>
          <w:spacing w:val="5"/>
          <w:sz w:val="22"/>
          <w:szCs w:val="22"/>
        </w:rPr>
        <w:t>.</w:t>
      </w:r>
      <w:r>
        <w:rPr>
          <w:sz w:val="22"/>
          <w:szCs w:val="22"/>
        </w:rPr>
        <w:t>cn</w:t>
      </w:r>
      <w:r>
        <w:rPr>
          <w:spacing w:val="5"/>
          <w:sz w:val="22"/>
          <w:szCs w:val="22"/>
        </w:rPr>
        <w:t>/</w:t>
      </w:r>
      <w:r>
        <w:rPr>
          <w:spacing w:val="5"/>
          <w:sz w:val="22"/>
          <w:szCs w:val="22"/>
        </w:rPr>
        <w:fldChar w:fldCharType="end"/>
      </w:r>
      <w:r>
        <w:rPr>
          <w:spacing w:val="5"/>
          <w:sz w:val="22"/>
          <w:szCs w:val="22"/>
        </w:rPr>
        <w:t>即可查询</w:t>
      </w:r>
      <w:r>
        <w:rPr>
          <w:sz w:val="22"/>
          <w:szCs w:val="22"/>
        </w:rPr>
        <w:t>FRR</w:t>
      </w:r>
      <w:r>
        <w:rPr>
          <w:spacing w:val="5"/>
          <w:sz w:val="22"/>
          <w:szCs w:val="22"/>
        </w:rPr>
        <w:t>证</w:t>
      </w:r>
      <w:r>
        <w:rPr>
          <w:sz w:val="22"/>
          <w:szCs w:val="22"/>
        </w:rPr>
        <w:t xml:space="preserve"> </w:t>
      </w:r>
      <w:r>
        <w:rPr>
          <w:spacing w:val="6"/>
          <w:sz w:val="22"/>
          <w:szCs w:val="22"/>
        </w:rPr>
        <w:t>书相关信息。如图所示：</w:t>
      </w:r>
    </w:p>
    <w:p w14:paraId="52C54441">
      <w:pPr>
        <w:spacing w:before="108" w:line="3816" w:lineRule="exact"/>
      </w:pPr>
      <w:r>
        <w:rPr>
          <w:position w:val="-76"/>
        </w:rPr>
        <w:drawing>
          <wp:inline distT="0" distB="0" distL="0" distR="0">
            <wp:extent cx="4972050" cy="2422525"/>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44"/>
                    <a:stretch>
                      <a:fillRect/>
                    </a:stretch>
                  </pic:blipFill>
                  <pic:spPr>
                    <a:xfrm>
                      <a:off x="0" y="0"/>
                      <a:ext cx="4972050" cy="2423159"/>
                    </a:xfrm>
                    <a:prstGeom prst="rect">
                      <a:avLst/>
                    </a:prstGeom>
                  </pic:spPr>
                </pic:pic>
              </a:graphicData>
            </a:graphic>
          </wp:inline>
        </w:drawing>
      </w:r>
    </w:p>
    <w:p w14:paraId="32166B2D">
      <w:pPr>
        <w:spacing w:line="316" w:lineRule="auto"/>
        <w:rPr>
          <w:rFonts w:ascii="Arial"/>
          <w:sz w:val="21"/>
        </w:rPr>
      </w:pPr>
    </w:p>
    <w:p w14:paraId="0DAB05E1">
      <w:pPr>
        <w:spacing w:line="316" w:lineRule="auto"/>
        <w:rPr>
          <w:rFonts w:ascii="Arial"/>
          <w:sz w:val="21"/>
        </w:rPr>
      </w:pPr>
    </w:p>
    <w:p w14:paraId="197063CA">
      <w:pPr>
        <w:spacing w:line="5925" w:lineRule="exact"/>
      </w:pPr>
      <w:r>
        <w:rPr>
          <w:position w:val="-118"/>
        </w:rPr>
        <w:drawing>
          <wp:inline distT="0" distB="0" distL="0" distR="0">
            <wp:extent cx="5023485" cy="3762375"/>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45"/>
                    <a:stretch>
                      <a:fillRect/>
                    </a:stretch>
                  </pic:blipFill>
                  <pic:spPr>
                    <a:xfrm>
                      <a:off x="0" y="0"/>
                      <a:ext cx="5023865" cy="3762375"/>
                    </a:xfrm>
                    <a:prstGeom prst="rect">
                      <a:avLst/>
                    </a:prstGeom>
                  </pic:spPr>
                </pic:pic>
              </a:graphicData>
            </a:graphic>
          </wp:inline>
        </w:drawing>
      </w:r>
    </w:p>
    <w:p w14:paraId="565F9AB5">
      <w:pPr>
        <w:spacing w:line="5925" w:lineRule="exact"/>
        <w:sectPr>
          <w:footerReference r:id="rId11" w:type="default"/>
          <w:pgSz w:w="10660" w:h="15081"/>
          <w:pgMar w:top="1266" w:right="1222" w:bottom="325" w:left="1133" w:header="0" w:footer="0" w:gutter="0"/>
          <w:cols w:space="720" w:num="1"/>
        </w:sectPr>
      </w:pPr>
      <w:r>
        <w:rPr>
          <w:rFonts w:hint="eastAsia" w:ascii="微软雅黑" w:hAnsi="微软雅黑" w:eastAsia="微软雅黑" w:cs="微软雅黑"/>
          <w:sz w:val="71"/>
          <w:szCs w:val="71"/>
          <w:lang w:eastAsia="zh-CN"/>
        </w:rPr>
        <w:drawing>
          <wp:anchor distT="0" distB="0" distL="114300" distR="114300" simplePos="0" relativeHeight="251692032" behindDoc="0" locked="0" layoutInCell="1" allowOverlap="1">
            <wp:simplePos x="0" y="0"/>
            <wp:positionH relativeFrom="column">
              <wp:posOffset>-708660</wp:posOffset>
            </wp:positionH>
            <wp:positionV relativeFrom="paragraph">
              <wp:posOffset>784860</wp:posOffset>
            </wp:positionV>
            <wp:extent cx="6795770" cy="384810"/>
            <wp:effectExtent l="0" t="0" r="1270" b="11430"/>
            <wp:wrapNone/>
            <wp:docPr id="7" name="图片 7" descr="文字文稿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文字文稿1_01"/>
                    <pic:cNvPicPr>
                      <a:picLocks noChangeAspect="1"/>
                    </pic:cNvPicPr>
                  </pic:nvPicPr>
                  <pic:blipFill>
                    <a:blip r:embed="rId36">
                      <a:lum contrast="6000"/>
                    </a:blip>
                    <a:srcRect t="96008"/>
                    <a:stretch>
                      <a:fillRect/>
                    </a:stretch>
                  </pic:blipFill>
                  <pic:spPr>
                    <a:xfrm>
                      <a:off x="0" y="0"/>
                      <a:ext cx="6795770" cy="384810"/>
                    </a:xfrm>
                    <a:prstGeom prst="rect">
                      <a:avLst/>
                    </a:prstGeom>
                  </pic:spPr>
                </pic:pic>
              </a:graphicData>
            </a:graphic>
          </wp:anchor>
        </w:drawing>
      </w:r>
    </w:p>
    <w:p w14:paraId="228B14AB">
      <w:pPr>
        <w:spacing w:line="3909" w:lineRule="exact"/>
        <w:ind w:firstLine="357"/>
      </w:pPr>
      <w:r>
        <w:rPr>
          <w:position w:val="-78"/>
        </w:rPr>
        <w:drawing>
          <wp:inline distT="0" distB="0" distL="0" distR="0">
            <wp:extent cx="4873625" cy="2482215"/>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46"/>
                    <a:stretch>
                      <a:fillRect/>
                    </a:stretch>
                  </pic:blipFill>
                  <pic:spPr>
                    <a:xfrm>
                      <a:off x="0" y="0"/>
                      <a:ext cx="4873752" cy="2482215"/>
                    </a:xfrm>
                    <a:prstGeom prst="rect">
                      <a:avLst/>
                    </a:prstGeom>
                  </pic:spPr>
                </pic:pic>
              </a:graphicData>
            </a:graphic>
          </wp:inline>
        </w:drawing>
      </w:r>
    </w:p>
    <w:p w14:paraId="485AD2D9">
      <w:pPr>
        <w:spacing w:line="249" w:lineRule="auto"/>
        <w:rPr>
          <w:rFonts w:ascii="Arial"/>
          <w:sz w:val="21"/>
        </w:rPr>
      </w:pPr>
    </w:p>
    <w:p w14:paraId="212CA977">
      <w:pPr>
        <w:spacing w:line="249" w:lineRule="auto"/>
        <w:rPr>
          <w:rFonts w:ascii="Arial"/>
          <w:sz w:val="21"/>
        </w:rPr>
      </w:pPr>
    </w:p>
    <w:p w14:paraId="697028DC">
      <w:pPr>
        <w:spacing w:line="249" w:lineRule="auto"/>
        <w:rPr>
          <w:rFonts w:ascii="Arial"/>
          <w:sz w:val="21"/>
        </w:rPr>
      </w:pPr>
    </w:p>
    <w:p w14:paraId="7603B47B">
      <w:pPr>
        <w:spacing w:line="249" w:lineRule="auto"/>
        <w:rPr>
          <w:rFonts w:ascii="Arial"/>
          <w:sz w:val="21"/>
        </w:rPr>
      </w:pPr>
    </w:p>
    <w:p w14:paraId="33BDB1F6">
      <w:pPr>
        <w:spacing w:line="250" w:lineRule="auto"/>
        <w:rPr>
          <w:rFonts w:ascii="Arial"/>
          <w:sz w:val="21"/>
        </w:rPr>
      </w:pPr>
    </w:p>
    <w:p w14:paraId="6BE886FE">
      <w:pPr>
        <w:spacing w:line="250" w:lineRule="auto"/>
        <w:rPr>
          <w:rFonts w:ascii="Arial"/>
          <w:sz w:val="21"/>
        </w:rPr>
      </w:pPr>
    </w:p>
    <w:p w14:paraId="0D85219B">
      <w:pPr>
        <w:pStyle w:val="2"/>
        <w:spacing w:before="211" w:line="186" w:lineRule="auto"/>
        <w:ind w:left="4"/>
        <w:rPr>
          <w:sz w:val="49"/>
          <w:szCs w:val="49"/>
        </w:rPr>
      </w:pPr>
      <w:r>
        <w:rPr>
          <w:color w:val="7F7F7F"/>
          <w:spacing w:val="6"/>
          <w:sz w:val="49"/>
          <w:szCs w:val="49"/>
        </w:rPr>
        <w:t>政府主管部门</w:t>
      </w:r>
    </w:p>
    <w:p w14:paraId="29E0D44F">
      <w:pPr>
        <w:spacing w:line="397" w:lineRule="auto"/>
        <w:rPr>
          <w:rFonts w:ascii="Arial"/>
          <w:sz w:val="21"/>
        </w:rPr>
      </w:pPr>
    </w:p>
    <w:p w14:paraId="733DDA58">
      <w:pPr>
        <w:pStyle w:val="2"/>
        <w:spacing w:before="103" w:line="182" w:lineRule="auto"/>
        <w:ind w:left="2"/>
        <w:rPr>
          <w:sz w:val="24"/>
          <w:szCs w:val="24"/>
        </w:rPr>
      </w:pPr>
      <w:r>
        <w:rPr>
          <w:color w:val="231F20"/>
          <w:spacing w:val="-4"/>
          <w:sz w:val="24"/>
          <w:szCs w:val="24"/>
        </w:rPr>
        <w:t>关</w:t>
      </w:r>
      <w:r>
        <w:rPr>
          <w:color w:val="231F20"/>
          <w:spacing w:val="-30"/>
          <w:sz w:val="24"/>
          <w:szCs w:val="24"/>
        </w:rPr>
        <w:t xml:space="preserve"> </w:t>
      </w:r>
      <w:r>
        <w:rPr>
          <w:color w:val="231F20"/>
          <w:spacing w:val="-4"/>
          <w:sz w:val="24"/>
          <w:szCs w:val="24"/>
        </w:rPr>
        <w:t>于</w:t>
      </w:r>
      <w:r>
        <w:rPr>
          <w:color w:val="231F20"/>
          <w:spacing w:val="7"/>
          <w:sz w:val="24"/>
          <w:szCs w:val="24"/>
        </w:rPr>
        <w:t xml:space="preserve">  </w:t>
      </w:r>
      <w:r>
        <w:rPr>
          <w:color w:val="231F20"/>
          <w:spacing w:val="-4"/>
          <w:sz w:val="24"/>
          <w:szCs w:val="24"/>
        </w:rPr>
        <w:t>OSTA</w:t>
      </w:r>
    </w:p>
    <w:p w14:paraId="6E096663">
      <w:pPr>
        <w:pStyle w:val="2"/>
        <w:spacing w:before="245" w:line="235" w:lineRule="auto"/>
        <w:ind w:left="13" w:right="62" w:hanging="6"/>
      </w:pPr>
      <w:r>
        <w:rPr>
          <w:color w:val="231F20"/>
        </w:rPr>
        <w:t>OSTA</w:t>
      </w:r>
      <w:r>
        <w:rPr>
          <w:color w:val="231F20"/>
          <w:spacing w:val="21"/>
        </w:rPr>
        <w:t xml:space="preserve"> 是</w:t>
      </w:r>
      <w:r>
        <w:rPr>
          <w:color w:val="231F20"/>
        </w:rPr>
        <w:t>Occupational</w:t>
      </w:r>
      <w:r>
        <w:rPr>
          <w:color w:val="231F20"/>
          <w:spacing w:val="67"/>
          <w:w w:val="101"/>
        </w:rPr>
        <w:t xml:space="preserve"> </w:t>
      </w:r>
      <w:r>
        <w:rPr>
          <w:color w:val="231F20"/>
        </w:rPr>
        <w:t>Skill</w:t>
      </w:r>
      <w:r>
        <w:rPr>
          <w:color w:val="231F20"/>
          <w:spacing w:val="41"/>
        </w:rPr>
        <w:t xml:space="preserve"> </w:t>
      </w:r>
      <w:r>
        <w:rPr>
          <w:color w:val="231F20"/>
        </w:rPr>
        <w:t>Testing</w:t>
      </w:r>
      <w:r>
        <w:rPr>
          <w:color w:val="231F20"/>
          <w:spacing w:val="32"/>
          <w:w w:val="101"/>
        </w:rPr>
        <w:t xml:space="preserve"> </w:t>
      </w:r>
      <w:r>
        <w:rPr>
          <w:color w:val="231F20"/>
        </w:rPr>
        <w:t>Authority</w:t>
      </w:r>
      <w:r>
        <w:rPr>
          <w:color w:val="231F20"/>
          <w:spacing w:val="21"/>
        </w:rPr>
        <w:t>的英文缩写</w:t>
      </w:r>
      <w:r>
        <w:rPr>
          <w:color w:val="231F20"/>
          <w:spacing w:val="-11"/>
        </w:rPr>
        <w:t xml:space="preserve"> </w:t>
      </w:r>
      <w:r>
        <w:rPr>
          <w:color w:val="231F20"/>
          <w:spacing w:val="21"/>
        </w:rPr>
        <w:t>，</w:t>
      </w:r>
      <w:r>
        <w:rPr>
          <w:color w:val="231F20"/>
          <w:spacing w:val="-26"/>
        </w:rPr>
        <w:t xml:space="preserve"> </w:t>
      </w:r>
      <w:r>
        <w:rPr>
          <w:color w:val="231F20"/>
          <w:spacing w:val="21"/>
        </w:rPr>
        <w:t>即职业技能鉴定中心</w:t>
      </w:r>
      <w:r>
        <w:rPr>
          <w:color w:val="231F20"/>
          <w:spacing w:val="-11"/>
        </w:rPr>
        <w:t xml:space="preserve"> </w:t>
      </w:r>
      <w:r>
        <w:rPr>
          <w:color w:val="231F20"/>
          <w:spacing w:val="21"/>
        </w:rPr>
        <w:t>，</w:t>
      </w:r>
      <w:r>
        <w:rPr>
          <w:color w:val="231F20"/>
          <w:spacing w:val="-27"/>
        </w:rPr>
        <w:t xml:space="preserve"> </w:t>
      </w:r>
      <w:r>
        <w:rPr>
          <w:color w:val="231F20"/>
          <w:spacing w:val="21"/>
        </w:rPr>
        <w:t>由</w:t>
      </w:r>
      <w:r>
        <w:rPr>
          <w:color w:val="231F20"/>
        </w:rPr>
        <w:t xml:space="preserve"> </w:t>
      </w:r>
      <w:r>
        <w:rPr>
          <w:color w:val="231F20"/>
          <w:spacing w:val="11"/>
        </w:rPr>
        <w:t>中国人力资源和社会保障部主管</w:t>
      </w:r>
      <w:r>
        <w:rPr>
          <w:color w:val="231F20"/>
          <w:spacing w:val="-26"/>
        </w:rPr>
        <w:t xml:space="preserve"> </w:t>
      </w:r>
      <w:r>
        <w:rPr>
          <w:color w:val="231F20"/>
          <w:spacing w:val="11"/>
        </w:rPr>
        <w:t>，</w:t>
      </w:r>
      <w:r>
        <w:rPr>
          <w:color w:val="231F20"/>
          <w:spacing w:val="-35"/>
        </w:rPr>
        <w:t xml:space="preserve"> </w:t>
      </w:r>
      <w:r>
        <w:rPr>
          <w:color w:val="231F20"/>
        </w:rPr>
        <w:t>OSTA</w:t>
      </w:r>
      <w:r>
        <w:rPr>
          <w:color w:val="231F20"/>
          <w:spacing w:val="11"/>
        </w:rPr>
        <w:t>是我国劳动就业和职业资格证书的政府主管</w:t>
      </w:r>
      <w:r>
        <w:rPr>
          <w:color w:val="231F20"/>
          <w:spacing w:val="10"/>
        </w:rPr>
        <w:t>机构</w:t>
      </w:r>
      <w:r>
        <w:rPr>
          <w:color w:val="231F20"/>
        </w:rPr>
        <w:t xml:space="preserve">   </w:t>
      </w:r>
      <w:r>
        <w:rPr>
          <w:color w:val="231F20"/>
          <w:spacing w:val="10"/>
        </w:rPr>
        <w:t>,</w:t>
      </w:r>
      <w:r>
        <w:rPr>
          <w:color w:val="231F20"/>
          <w:spacing w:val="23"/>
          <w:w w:val="101"/>
        </w:rPr>
        <w:t xml:space="preserve">  </w:t>
      </w:r>
      <w:r>
        <w:rPr>
          <w:color w:val="231F20"/>
          <w:spacing w:val="10"/>
        </w:rPr>
        <w:t>中心设置国际证书协调办公室专门负责国外</w:t>
      </w:r>
      <w:r>
        <w:rPr>
          <w:color w:val="231F20"/>
          <w:spacing w:val="9"/>
        </w:rPr>
        <w:t>先进职业证书方面的引进、管理、协调工作</w:t>
      </w:r>
    </w:p>
    <w:p w14:paraId="0D47FEB3">
      <w:pPr>
        <w:pStyle w:val="2"/>
        <w:spacing w:before="129" w:line="121" w:lineRule="exact"/>
        <w:ind w:left="10"/>
      </w:pPr>
      <w:r>
        <w:rPr>
          <w:color w:val="231F20"/>
          <w:position w:val="3"/>
        </w:rPr>
        <w:t>。</w:t>
      </w:r>
    </w:p>
    <w:p w14:paraId="05AFD299">
      <w:pPr>
        <w:pStyle w:val="2"/>
        <w:spacing w:before="203" w:line="181" w:lineRule="auto"/>
        <w:ind w:left="8"/>
        <w:rPr>
          <w:sz w:val="24"/>
          <w:szCs w:val="24"/>
        </w:rPr>
      </w:pPr>
      <w:r>
        <w:rPr>
          <w:color w:val="231F20"/>
          <w:sz w:val="24"/>
          <w:szCs w:val="24"/>
        </w:rPr>
        <w:t>OSTA</w:t>
      </w:r>
      <w:r>
        <w:rPr>
          <w:color w:val="231F20"/>
          <w:spacing w:val="26"/>
          <w:sz w:val="24"/>
          <w:szCs w:val="24"/>
        </w:rPr>
        <w:t xml:space="preserve"> </w:t>
      </w:r>
      <w:r>
        <w:rPr>
          <w:color w:val="231F20"/>
          <w:spacing w:val="11"/>
          <w:sz w:val="24"/>
          <w:szCs w:val="24"/>
        </w:rPr>
        <w:t>证书介绍</w:t>
      </w:r>
    </w:p>
    <w:p w14:paraId="56524B83">
      <w:pPr>
        <w:pStyle w:val="2"/>
        <w:spacing w:before="280" w:line="227" w:lineRule="auto"/>
        <w:ind w:firstLine="1"/>
        <w:jc w:val="both"/>
      </w:pPr>
      <w:r>
        <w:rPr>
          <w:color w:val="231F20"/>
          <w:spacing w:val="14"/>
        </w:rPr>
        <w:t>职业资格证书制度是一种特殊形式的国家考试制度</w:t>
      </w:r>
      <w:r>
        <w:rPr>
          <w:color w:val="231F20"/>
          <w:spacing w:val="-18"/>
        </w:rPr>
        <w:t xml:space="preserve"> </w:t>
      </w:r>
      <w:r>
        <w:rPr>
          <w:color w:val="231F20"/>
          <w:spacing w:val="14"/>
        </w:rPr>
        <w:t>，按照国家制定的职业技能标准和任职</w:t>
      </w:r>
      <w:r>
        <w:rPr>
          <w:color w:val="231F20"/>
        </w:rPr>
        <w:t xml:space="preserve"> </w:t>
      </w:r>
      <w:r>
        <w:rPr>
          <w:color w:val="231F20"/>
          <w:spacing w:val="12"/>
        </w:rPr>
        <w:t>资格条件</w:t>
      </w:r>
      <w:r>
        <w:rPr>
          <w:color w:val="231F20"/>
          <w:spacing w:val="-14"/>
        </w:rPr>
        <w:t xml:space="preserve"> </w:t>
      </w:r>
      <w:r>
        <w:rPr>
          <w:color w:val="231F20"/>
          <w:spacing w:val="12"/>
        </w:rPr>
        <w:t>，</w:t>
      </w:r>
      <w:r>
        <w:rPr>
          <w:color w:val="231F20"/>
          <w:spacing w:val="-25"/>
        </w:rPr>
        <w:t xml:space="preserve"> </w:t>
      </w:r>
      <w:r>
        <w:rPr>
          <w:color w:val="231F20"/>
          <w:spacing w:val="12"/>
        </w:rPr>
        <w:t>由政府认定的考核鉴定机构</w:t>
      </w:r>
      <w:r>
        <w:rPr>
          <w:color w:val="231F20"/>
          <w:spacing w:val="-20"/>
        </w:rPr>
        <w:t xml:space="preserve"> </w:t>
      </w:r>
      <w:r>
        <w:rPr>
          <w:color w:val="231F20"/>
          <w:spacing w:val="12"/>
        </w:rPr>
        <w:t>，对广大从业者的技能水平或职业资格进行客观公</w:t>
      </w:r>
      <w:r>
        <w:rPr>
          <w:color w:val="231F20"/>
        </w:rPr>
        <w:t xml:space="preserve"> </w:t>
      </w:r>
      <w:r>
        <w:rPr>
          <w:color w:val="231F20"/>
          <w:spacing w:val="12"/>
        </w:rPr>
        <w:t>正、科学规范的评价和鉴定</w:t>
      </w:r>
      <w:r>
        <w:rPr>
          <w:color w:val="231F20"/>
          <w:spacing w:val="-23"/>
        </w:rPr>
        <w:t xml:space="preserve"> </w:t>
      </w:r>
      <w:r>
        <w:rPr>
          <w:color w:val="231F20"/>
          <w:spacing w:val="12"/>
        </w:rPr>
        <w:t>，对合格者授予</w:t>
      </w:r>
      <w:r>
        <w:rPr>
          <w:color w:val="231F20"/>
          <w:spacing w:val="11"/>
        </w:rPr>
        <w:t>相应的国家职业资格证书</w:t>
      </w:r>
      <w:r>
        <w:rPr>
          <w:color w:val="231F20"/>
          <w:spacing w:val="-23"/>
        </w:rPr>
        <w:t xml:space="preserve"> </w:t>
      </w:r>
      <w:r>
        <w:rPr>
          <w:color w:val="231F20"/>
          <w:spacing w:val="11"/>
        </w:rPr>
        <w:t xml:space="preserve">，主管权威机构为 </w:t>
      </w:r>
      <w:r>
        <w:rPr>
          <w:rFonts w:hint="eastAsia"/>
          <w:color w:val="231F20"/>
          <w:spacing w:val="11"/>
          <w:lang w:eastAsia="zh-CN"/>
        </w:rPr>
        <w:t>人力资源和社会保障部</w:t>
      </w:r>
      <w:r>
        <w:rPr>
          <w:color w:val="231F20"/>
          <w:spacing w:val="6"/>
        </w:rPr>
        <w:t>。</w:t>
      </w:r>
    </w:p>
    <w:p w14:paraId="7F586DB8">
      <w:pPr>
        <w:spacing w:line="463" w:lineRule="auto"/>
        <w:rPr>
          <w:rFonts w:ascii="Arial"/>
          <w:sz w:val="21"/>
        </w:rPr>
      </w:pPr>
    </w:p>
    <w:p w14:paraId="6B96BE7C">
      <w:pPr>
        <w:pStyle w:val="2"/>
        <w:spacing w:before="87" w:line="227" w:lineRule="auto"/>
        <w:ind w:left="1" w:right="2"/>
        <w:jc w:val="both"/>
      </w:pPr>
      <w:r>
        <w:rPr>
          <w:color w:val="231F20"/>
          <w:spacing w:val="15"/>
        </w:rPr>
        <w:t>职业资格证书是表明从业者具有从事某一职业所必备的学识和技能的证明。是从业者求职</w:t>
      </w:r>
      <w:r>
        <w:rPr>
          <w:color w:val="231F20"/>
          <w:spacing w:val="3"/>
        </w:rPr>
        <w:t xml:space="preserve"> </w:t>
      </w:r>
      <w:r>
        <w:rPr>
          <w:color w:val="231F20"/>
          <w:spacing w:val="11"/>
        </w:rPr>
        <w:t>、任职、开业的资格凭证</w:t>
      </w:r>
      <w:r>
        <w:rPr>
          <w:color w:val="231F20"/>
          <w:spacing w:val="-7"/>
        </w:rPr>
        <w:t xml:space="preserve"> </w:t>
      </w:r>
      <w:r>
        <w:rPr>
          <w:color w:val="231F20"/>
          <w:spacing w:val="11"/>
        </w:rPr>
        <w:t>，是用人单位招聘、录用、晋升从业者的主要依据</w:t>
      </w:r>
      <w:r>
        <w:rPr>
          <w:color w:val="231F20"/>
          <w:spacing w:val="-23"/>
        </w:rPr>
        <w:t xml:space="preserve"> </w:t>
      </w:r>
      <w:r>
        <w:rPr>
          <w:color w:val="231F20"/>
          <w:spacing w:val="11"/>
        </w:rPr>
        <w:t>，也是境外 就</w:t>
      </w:r>
      <w:r>
        <w:rPr>
          <w:color w:val="231F20"/>
        </w:rPr>
        <w:t xml:space="preserve"> </w:t>
      </w:r>
      <w:r>
        <w:rPr>
          <w:color w:val="231F20"/>
          <w:spacing w:val="12"/>
        </w:rPr>
        <w:t>业、对外劳务合作人员办理技能水平公证的有效证件。各省市根据当地的不同情况</w:t>
      </w:r>
      <w:r>
        <w:rPr>
          <w:color w:val="231F20"/>
          <w:spacing w:val="-11"/>
        </w:rPr>
        <w:t xml:space="preserve"> </w:t>
      </w:r>
      <w:r>
        <w:rPr>
          <w:color w:val="231F20"/>
          <w:spacing w:val="12"/>
        </w:rPr>
        <w:t>，颁 布</w:t>
      </w:r>
      <w:r>
        <w:rPr>
          <w:color w:val="231F20"/>
        </w:rPr>
        <w:t xml:space="preserve"> </w:t>
      </w:r>
      <w:r>
        <w:rPr>
          <w:color w:val="231F20"/>
          <w:spacing w:val="7"/>
        </w:rPr>
        <w:t>了各自的配套政策</w:t>
      </w:r>
      <w:r>
        <w:rPr>
          <w:color w:val="231F20"/>
          <w:spacing w:val="-28"/>
        </w:rPr>
        <w:t xml:space="preserve"> </w:t>
      </w:r>
      <w:r>
        <w:rPr>
          <w:color w:val="231F20"/>
          <w:spacing w:val="7"/>
        </w:rPr>
        <w:t>，比如河南将职业资格证书与工资挂钩</w:t>
      </w:r>
      <w:r>
        <w:rPr>
          <w:color w:val="231F20"/>
          <w:spacing w:val="-28"/>
        </w:rPr>
        <w:t xml:space="preserve"> </w:t>
      </w:r>
      <w:r>
        <w:rPr>
          <w:color w:val="231F20"/>
          <w:spacing w:val="7"/>
        </w:rPr>
        <w:t>，深圳与户口调动挂</w:t>
      </w:r>
      <w:r>
        <w:rPr>
          <w:color w:val="231F20"/>
          <w:spacing w:val="6"/>
        </w:rPr>
        <w:t>钩等。</w:t>
      </w:r>
    </w:p>
    <w:p w14:paraId="09C419AD">
      <w:pPr>
        <w:spacing w:line="227" w:lineRule="auto"/>
        <w:sectPr>
          <w:footerReference r:id="rId12" w:type="default"/>
          <w:pgSz w:w="10660" w:h="15081"/>
          <w:pgMar w:top="1245" w:right="1130" w:bottom="325" w:left="1135" w:header="0" w:footer="0" w:gutter="0"/>
          <w:cols w:space="720" w:num="1"/>
        </w:sectPr>
      </w:pPr>
      <w:r>
        <w:rPr>
          <w:rFonts w:hint="eastAsia" w:ascii="微软雅黑" w:hAnsi="微软雅黑" w:eastAsia="微软雅黑" w:cs="微软雅黑"/>
          <w:sz w:val="71"/>
          <w:szCs w:val="71"/>
          <w:lang w:eastAsia="zh-CN"/>
        </w:rPr>
        <w:drawing>
          <wp:anchor distT="0" distB="0" distL="114300" distR="114300" simplePos="0" relativeHeight="251693056" behindDoc="0" locked="0" layoutInCell="1" allowOverlap="1">
            <wp:simplePos x="0" y="0"/>
            <wp:positionH relativeFrom="column">
              <wp:posOffset>-709930</wp:posOffset>
            </wp:positionH>
            <wp:positionV relativeFrom="paragraph">
              <wp:posOffset>470535</wp:posOffset>
            </wp:positionV>
            <wp:extent cx="6795770" cy="384810"/>
            <wp:effectExtent l="0" t="0" r="1270" b="11430"/>
            <wp:wrapNone/>
            <wp:docPr id="8" name="图片 8" descr="文字文稿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文字文稿1_01"/>
                    <pic:cNvPicPr>
                      <a:picLocks noChangeAspect="1"/>
                    </pic:cNvPicPr>
                  </pic:nvPicPr>
                  <pic:blipFill>
                    <a:blip r:embed="rId36">
                      <a:lum contrast="6000"/>
                    </a:blip>
                    <a:srcRect t="96008"/>
                    <a:stretch>
                      <a:fillRect/>
                    </a:stretch>
                  </pic:blipFill>
                  <pic:spPr>
                    <a:xfrm>
                      <a:off x="0" y="0"/>
                      <a:ext cx="6795770" cy="384810"/>
                    </a:xfrm>
                    <a:prstGeom prst="rect">
                      <a:avLst/>
                    </a:prstGeom>
                  </pic:spPr>
                </pic:pic>
              </a:graphicData>
            </a:graphic>
          </wp:anchor>
        </w:drawing>
      </w:r>
    </w:p>
    <w:p w14:paraId="040D3C63">
      <w:pPr>
        <w:pStyle w:val="2"/>
        <w:spacing w:before="97" w:line="185" w:lineRule="auto"/>
        <w:ind w:left="27"/>
        <w:rPr>
          <w:sz w:val="49"/>
          <w:szCs w:val="49"/>
        </w:rPr>
      </w:pPr>
      <w:r>
        <w:rPr>
          <w:color w:val="7F7F7F"/>
          <w:spacing w:val="-3"/>
          <w:sz w:val="49"/>
          <w:szCs w:val="49"/>
        </w:rPr>
        <w:t>常见问题</w:t>
      </w:r>
    </w:p>
    <w:p w14:paraId="54819D3C">
      <w:pPr>
        <w:pStyle w:val="2"/>
        <w:spacing w:before="279" w:line="226" w:lineRule="auto"/>
        <w:ind w:left="9"/>
        <w:rPr>
          <w:sz w:val="22"/>
          <w:szCs w:val="22"/>
        </w:rPr>
      </w:pPr>
      <w:r>
        <w:rPr>
          <w:rFonts w:ascii="Arial" w:hAnsi="Arial" w:eastAsia="Arial" w:cs="Arial"/>
          <w:b/>
          <w:bCs/>
          <w:color w:val="16A0DB"/>
          <w:spacing w:val="-7"/>
          <w:sz w:val="22"/>
          <w:szCs w:val="22"/>
        </w:rPr>
        <w:t>Q.</w:t>
      </w:r>
      <w:r>
        <w:rPr>
          <w:rFonts w:ascii="Arial" w:hAnsi="Arial" w:eastAsia="Arial" w:cs="Arial"/>
          <w:b/>
          <w:bCs/>
          <w:color w:val="16A0DB"/>
          <w:spacing w:val="15"/>
          <w:w w:val="101"/>
          <w:sz w:val="22"/>
          <w:szCs w:val="22"/>
        </w:rPr>
        <w:t xml:space="preserve">   </w:t>
      </w:r>
      <w:r>
        <w:rPr>
          <w:color w:val="231F20"/>
          <w:spacing w:val="-7"/>
          <w:sz w:val="22"/>
          <w:szCs w:val="22"/>
        </w:rPr>
        <w:t>考试结束后立即出成绩吗？</w:t>
      </w:r>
    </w:p>
    <w:p w14:paraId="772B5D79">
      <w:pPr>
        <w:pStyle w:val="2"/>
        <w:spacing w:before="50" w:line="224" w:lineRule="auto"/>
        <w:ind w:left="2" w:hanging="2"/>
      </w:pPr>
      <w:r>
        <w:rPr>
          <w:rFonts w:ascii="Arial" w:hAnsi="Arial" w:eastAsia="Arial" w:cs="Arial"/>
          <w:b/>
          <w:bCs/>
          <w:color w:val="9AA7AE"/>
          <w:spacing w:val="11"/>
        </w:rPr>
        <w:t>A</w:t>
      </w:r>
      <w:r>
        <w:rPr>
          <w:rFonts w:ascii="Tahoma" w:hAnsi="Tahoma" w:eastAsia="Tahoma" w:cs="Tahoma"/>
          <w:color w:val="9AA7AE"/>
          <w:spacing w:val="11"/>
        </w:rPr>
        <w:t xml:space="preserve">.   </w:t>
      </w:r>
      <w:r>
        <w:rPr>
          <w:color w:val="231F20"/>
          <w:spacing w:val="11"/>
        </w:rPr>
        <w:t>不是。约在考试结束后1周左右</w:t>
      </w:r>
      <w:r>
        <w:rPr>
          <w:color w:val="231F20"/>
          <w:spacing w:val="-10"/>
        </w:rPr>
        <w:t xml:space="preserve"> </w:t>
      </w:r>
      <w:r>
        <w:rPr>
          <w:color w:val="231F20"/>
          <w:spacing w:val="11"/>
        </w:rPr>
        <w:t>，考生可</w:t>
      </w:r>
      <w:r>
        <w:rPr>
          <w:rFonts w:hint="eastAsia"/>
          <w:color w:val="231F20"/>
          <w:spacing w:val="11"/>
          <w:lang w:eastAsia="zh-CN"/>
        </w:rPr>
        <w:t>登录官方网站</w:t>
      </w:r>
      <w:r>
        <w:rPr>
          <w:color w:val="231F20"/>
          <w:spacing w:val="11"/>
        </w:rPr>
        <w:t>查询考试结果</w:t>
      </w:r>
      <w:r>
        <w:rPr>
          <w:color w:val="231F20"/>
          <w:spacing w:val="-20"/>
        </w:rPr>
        <w:t xml:space="preserve"> </w:t>
      </w:r>
      <w:r>
        <w:rPr>
          <w:color w:val="231F20"/>
          <w:spacing w:val="11"/>
        </w:rPr>
        <w:t>，“合格</w:t>
      </w:r>
      <w:r>
        <w:rPr>
          <w:color w:val="231F20"/>
          <w:spacing w:val="-43"/>
        </w:rPr>
        <w:t xml:space="preserve"> </w:t>
      </w:r>
      <w:r>
        <w:rPr>
          <w:color w:val="231F20"/>
          <w:spacing w:val="11"/>
        </w:rPr>
        <w:t>”</w:t>
      </w:r>
      <w:r>
        <w:rPr>
          <w:color w:val="231F20"/>
          <w:spacing w:val="32"/>
        </w:rPr>
        <w:t xml:space="preserve"> </w:t>
      </w:r>
      <w:r>
        <w:rPr>
          <w:color w:val="231F20"/>
          <w:spacing w:val="11"/>
        </w:rPr>
        <w:t>即为</w:t>
      </w:r>
      <w:r>
        <w:rPr>
          <w:color w:val="231F20"/>
        </w:rPr>
        <w:t xml:space="preserve"> </w:t>
      </w:r>
      <w:r>
        <w:rPr>
          <w:color w:val="231F20"/>
          <w:spacing w:val="4"/>
        </w:rPr>
        <w:t>通过</w:t>
      </w:r>
      <w:r>
        <w:rPr>
          <w:color w:val="231F20"/>
          <w:spacing w:val="-26"/>
        </w:rPr>
        <w:t xml:space="preserve"> </w:t>
      </w:r>
      <w:r>
        <w:rPr>
          <w:color w:val="231F20"/>
          <w:spacing w:val="4"/>
        </w:rPr>
        <w:t>，“不合格”即为不通过。</w:t>
      </w:r>
    </w:p>
    <w:p w14:paraId="7CA5AE55">
      <w:pPr>
        <w:spacing w:line="297" w:lineRule="auto"/>
        <w:rPr>
          <w:rFonts w:ascii="Arial"/>
          <w:sz w:val="21"/>
        </w:rPr>
      </w:pPr>
    </w:p>
    <w:p w14:paraId="1C98A1E9">
      <w:pPr>
        <w:pStyle w:val="2"/>
        <w:spacing w:before="95" w:line="226" w:lineRule="auto"/>
        <w:ind w:left="8"/>
        <w:rPr>
          <w:sz w:val="22"/>
          <w:szCs w:val="22"/>
        </w:rPr>
      </w:pPr>
      <w:r>
        <w:rPr>
          <w:b/>
          <w:bCs/>
          <w:color w:val="16A0DB"/>
          <w:spacing w:val="-5"/>
          <w:sz w:val="22"/>
          <w:szCs w:val="22"/>
        </w:rPr>
        <w:t>Q.</w:t>
      </w:r>
      <w:r>
        <w:rPr>
          <w:b/>
          <w:bCs/>
          <w:color w:val="16A0DB"/>
          <w:spacing w:val="13"/>
          <w:sz w:val="22"/>
          <w:szCs w:val="22"/>
        </w:rPr>
        <w:t xml:space="preserve">   </w:t>
      </w:r>
      <w:r>
        <w:rPr>
          <w:color w:val="231F20"/>
          <w:spacing w:val="-5"/>
          <w:sz w:val="22"/>
          <w:szCs w:val="22"/>
        </w:rPr>
        <w:t>何时能收到核对注册信息的通知？</w:t>
      </w:r>
    </w:p>
    <w:p w14:paraId="30BF37AC">
      <w:pPr>
        <w:pStyle w:val="2"/>
        <w:spacing w:before="50" w:line="224" w:lineRule="auto"/>
        <w:ind w:left="11" w:right="249" w:hanging="10"/>
      </w:pPr>
      <w:r>
        <w:rPr>
          <w:b/>
          <w:bCs/>
          <w:color w:val="9AA7AE"/>
          <w:spacing w:val="9"/>
        </w:rPr>
        <w:t>A</w:t>
      </w:r>
      <w:r>
        <w:rPr>
          <w:color w:val="9AA7AE"/>
          <w:spacing w:val="9"/>
        </w:rPr>
        <w:t xml:space="preserve">.   </w:t>
      </w:r>
      <w:r>
        <w:rPr>
          <w:color w:val="231F20"/>
          <w:spacing w:val="9"/>
        </w:rPr>
        <w:t>报名结束后我们会统一录入注册信息</w:t>
      </w:r>
      <w:r>
        <w:rPr>
          <w:color w:val="231F20"/>
          <w:spacing w:val="-14"/>
        </w:rPr>
        <w:t xml:space="preserve"> </w:t>
      </w:r>
      <w:r>
        <w:rPr>
          <w:color w:val="231F20"/>
          <w:spacing w:val="9"/>
        </w:rPr>
        <w:t>，约在考试前1周向所有考生发送核对注册信息</w:t>
      </w:r>
      <w:r>
        <w:rPr>
          <w:color w:val="231F20"/>
        </w:rPr>
        <w:t xml:space="preserve"> </w:t>
      </w:r>
      <w:r>
        <w:rPr>
          <w:color w:val="231F20"/>
          <w:spacing w:val="4"/>
        </w:rPr>
        <w:t>的通知。</w:t>
      </w:r>
    </w:p>
    <w:p w14:paraId="7E742500">
      <w:pPr>
        <w:spacing w:line="456" w:lineRule="auto"/>
        <w:rPr>
          <w:rFonts w:ascii="Arial"/>
          <w:sz w:val="21"/>
        </w:rPr>
      </w:pPr>
    </w:p>
    <w:p w14:paraId="68BCACDD">
      <w:pPr>
        <w:pStyle w:val="2"/>
        <w:spacing w:before="95" w:line="226" w:lineRule="auto"/>
        <w:ind w:left="8"/>
        <w:rPr>
          <w:sz w:val="22"/>
          <w:szCs w:val="22"/>
        </w:rPr>
      </w:pPr>
      <w:r>
        <w:rPr>
          <w:b/>
          <w:bCs/>
          <w:color w:val="16A0DB"/>
          <w:spacing w:val="-7"/>
          <w:sz w:val="22"/>
          <w:szCs w:val="22"/>
        </w:rPr>
        <w:t>Q.</w:t>
      </w:r>
      <w:r>
        <w:rPr>
          <w:b/>
          <w:bCs/>
          <w:color w:val="16A0DB"/>
          <w:spacing w:val="13"/>
          <w:sz w:val="22"/>
          <w:szCs w:val="22"/>
        </w:rPr>
        <w:t xml:space="preserve">   </w:t>
      </w:r>
      <w:r>
        <w:rPr>
          <w:color w:val="231F20"/>
          <w:spacing w:val="-7"/>
          <w:sz w:val="22"/>
          <w:szCs w:val="22"/>
        </w:rPr>
        <w:t>报名截止日期是什么？</w:t>
      </w:r>
    </w:p>
    <w:p w14:paraId="01EAFC17">
      <w:pPr>
        <w:pStyle w:val="2"/>
        <w:spacing w:before="29" w:line="233" w:lineRule="auto"/>
        <w:ind w:left="1"/>
      </w:pPr>
      <w:r>
        <w:rPr>
          <w:b/>
          <w:bCs/>
          <w:color w:val="9AA7AE"/>
          <w:spacing w:val="7"/>
        </w:rPr>
        <w:t>A</w:t>
      </w:r>
      <w:r>
        <w:rPr>
          <w:color w:val="9AA7AE"/>
          <w:spacing w:val="7"/>
        </w:rPr>
        <w:t xml:space="preserve">.   </w:t>
      </w:r>
      <w:r>
        <w:rPr>
          <w:color w:val="231F20"/>
          <w:spacing w:val="7"/>
        </w:rPr>
        <w:t>一般为考试日期前1个月。</w:t>
      </w:r>
    </w:p>
    <w:p w14:paraId="01DBDA08">
      <w:pPr>
        <w:spacing w:line="427" w:lineRule="auto"/>
        <w:rPr>
          <w:rFonts w:ascii="Arial"/>
          <w:sz w:val="21"/>
        </w:rPr>
      </w:pPr>
    </w:p>
    <w:p w14:paraId="2DE6DCB2">
      <w:pPr>
        <w:pStyle w:val="2"/>
        <w:spacing w:before="95" w:line="227" w:lineRule="auto"/>
        <w:ind w:left="8"/>
        <w:rPr>
          <w:sz w:val="22"/>
          <w:szCs w:val="22"/>
        </w:rPr>
      </w:pPr>
      <w:r>
        <w:rPr>
          <w:b/>
          <w:bCs/>
          <w:color w:val="16A0DB"/>
          <w:spacing w:val="-7"/>
          <w:sz w:val="22"/>
          <w:szCs w:val="22"/>
        </w:rPr>
        <w:t>Q.</w:t>
      </w:r>
      <w:r>
        <w:rPr>
          <w:b/>
          <w:bCs/>
          <w:color w:val="16A0DB"/>
          <w:spacing w:val="13"/>
          <w:sz w:val="22"/>
          <w:szCs w:val="22"/>
        </w:rPr>
        <w:t xml:space="preserve">   </w:t>
      </w:r>
      <w:r>
        <w:rPr>
          <w:color w:val="231F20"/>
          <w:spacing w:val="-7"/>
          <w:sz w:val="22"/>
          <w:szCs w:val="22"/>
        </w:rPr>
        <w:t>如何申请补考及延考？</w:t>
      </w:r>
    </w:p>
    <w:p w14:paraId="28BDA1E6">
      <w:pPr>
        <w:pStyle w:val="2"/>
        <w:spacing w:before="93" w:line="214" w:lineRule="auto"/>
        <w:ind w:left="2" w:right="290" w:hanging="1"/>
      </w:pPr>
      <w:r>
        <w:rPr>
          <w:b/>
          <w:bCs/>
          <w:color w:val="9AA7AE"/>
          <w:spacing w:val="15"/>
        </w:rPr>
        <w:t>A</w:t>
      </w:r>
      <w:r>
        <w:rPr>
          <w:color w:val="9AA7AE"/>
          <w:spacing w:val="15"/>
        </w:rPr>
        <w:t xml:space="preserve">.   </w:t>
      </w:r>
      <w:r>
        <w:rPr>
          <w:color w:val="231F20"/>
          <w:spacing w:val="15"/>
        </w:rPr>
        <w:t>若考生未通过</w:t>
      </w:r>
      <w:r>
        <w:rPr>
          <w:color w:val="231F20"/>
          <w:spacing w:val="-9"/>
        </w:rPr>
        <w:t xml:space="preserve"> </w:t>
      </w:r>
      <w:r>
        <w:rPr>
          <w:color w:val="231F20"/>
          <w:spacing w:val="15"/>
        </w:rPr>
        <w:t>，</w:t>
      </w:r>
      <w:r>
        <w:rPr>
          <w:color w:val="231F20"/>
          <w:spacing w:val="-39"/>
        </w:rPr>
        <w:t xml:space="preserve"> </w:t>
      </w:r>
      <w:r>
        <w:rPr>
          <w:color w:val="231F20"/>
          <w:spacing w:val="15"/>
        </w:rPr>
        <w:t>考生需在下批次考试报名开放时申请补考；</w:t>
      </w:r>
      <w:r>
        <w:rPr>
          <w:color w:val="231F20"/>
          <w:spacing w:val="-30"/>
        </w:rPr>
        <w:t xml:space="preserve"> </w:t>
      </w:r>
      <w:r>
        <w:rPr>
          <w:color w:val="231F20"/>
          <w:spacing w:val="15"/>
        </w:rPr>
        <w:t>延考则需要在本次考</w:t>
      </w:r>
      <w:r>
        <w:rPr>
          <w:color w:val="231F20"/>
        </w:rPr>
        <w:t xml:space="preserve"> </w:t>
      </w:r>
      <w:r>
        <w:rPr>
          <w:color w:val="231F20"/>
          <w:spacing w:val="11"/>
        </w:rPr>
        <w:t>试报名截止前申请。</w:t>
      </w:r>
    </w:p>
    <w:p w14:paraId="0FA3ACA7">
      <w:pPr>
        <w:spacing w:line="464" w:lineRule="auto"/>
        <w:rPr>
          <w:rFonts w:ascii="Arial"/>
          <w:sz w:val="21"/>
        </w:rPr>
      </w:pPr>
    </w:p>
    <w:p w14:paraId="1DEEC280">
      <w:pPr>
        <w:pStyle w:val="2"/>
        <w:spacing w:before="94" w:line="226" w:lineRule="auto"/>
        <w:ind w:left="8"/>
        <w:rPr>
          <w:sz w:val="22"/>
          <w:szCs w:val="22"/>
        </w:rPr>
      </w:pPr>
      <w:r>
        <w:rPr>
          <w:b/>
          <w:bCs/>
          <w:color w:val="16A0DB"/>
          <w:spacing w:val="-5"/>
          <w:sz w:val="22"/>
          <w:szCs w:val="22"/>
        </w:rPr>
        <w:t>Q.</w:t>
      </w:r>
      <w:r>
        <w:rPr>
          <w:b/>
          <w:bCs/>
          <w:color w:val="16A0DB"/>
          <w:spacing w:val="35"/>
          <w:sz w:val="22"/>
          <w:szCs w:val="22"/>
        </w:rPr>
        <w:t xml:space="preserve">  </w:t>
      </w:r>
      <w:r>
        <w:rPr>
          <w:color w:val="231F20"/>
          <w:spacing w:val="-5"/>
          <w:sz w:val="22"/>
          <w:szCs w:val="22"/>
        </w:rPr>
        <w:t>我已报名</w:t>
      </w:r>
      <w:r>
        <w:rPr>
          <w:color w:val="231F20"/>
          <w:spacing w:val="-34"/>
          <w:sz w:val="22"/>
          <w:szCs w:val="22"/>
        </w:rPr>
        <w:t xml:space="preserve"> </w:t>
      </w:r>
      <w:r>
        <w:rPr>
          <w:color w:val="231F20"/>
          <w:spacing w:val="-5"/>
          <w:sz w:val="22"/>
          <w:szCs w:val="22"/>
        </w:rPr>
        <w:t>，但是不想考了</w:t>
      </w:r>
      <w:r>
        <w:rPr>
          <w:color w:val="231F20"/>
          <w:spacing w:val="-35"/>
          <w:sz w:val="22"/>
          <w:szCs w:val="22"/>
        </w:rPr>
        <w:t xml:space="preserve"> </w:t>
      </w:r>
      <w:r>
        <w:rPr>
          <w:color w:val="231F20"/>
          <w:spacing w:val="-5"/>
          <w:sz w:val="22"/>
          <w:szCs w:val="22"/>
        </w:rPr>
        <w:t>，可以转给未报名的同事吗？</w:t>
      </w:r>
    </w:p>
    <w:p w14:paraId="61AF5AFC">
      <w:pPr>
        <w:pStyle w:val="2"/>
        <w:spacing w:before="51" w:line="232" w:lineRule="auto"/>
        <w:ind w:left="2" w:right="139" w:hanging="1"/>
      </w:pPr>
      <w:r>
        <w:rPr>
          <w:b/>
          <w:bCs/>
          <w:color w:val="9AA7AE"/>
          <w:spacing w:val="13"/>
        </w:rPr>
        <w:t>A</w:t>
      </w:r>
      <w:r>
        <w:rPr>
          <w:color w:val="9AA7AE"/>
          <w:spacing w:val="13"/>
        </w:rPr>
        <w:t xml:space="preserve">.   </w:t>
      </w:r>
      <w:r>
        <w:rPr>
          <w:color w:val="231F20"/>
          <w:spacing w:val="13"/>
        </w:rPr>
        <w:t>一般情况下</w:t>
      </w:r>
      <w:r>
        <w:rPr>
          <w:color w:val="231F20"/>
          <w:spacing w:val="-20"/>
        </w:rPr>
        <w:t xml:space="preserve"> </w:t>
      </w:r>
      <w:r>
        <w:rPr>
          <w:color w:val="231F20"/>
          <w:spacing w:val="13"/>
        </w:rPr>
        <w:t>，</w:t>
      </w:r>
      <w:r>
        <w:rPr>
          <w:color w:val="231F20"/>
          <w:spacing w:val="-30"/>
        </w:rPr>
        <w:t xml:space="preserve"> </w:t>
      </w:r>
      <w:r>
        <w:rPr>
          <w:color w:val="231F20"/>
          <w:spacing w:val="13"/>
        </w:rPr>
        <w:t>已经注册的考生（或考试</w:t>
      </w:r>
      <w:r>
        <w:rPr>
          <w:color w:val="231F20"/>
          <w:spacing w:val="12"/>
        </w:rPr>
        <w:t>报名已经截止时）</w:t>
      </w:r>
      <w:r>
        <w:rPr>
          <w:color w:val="231F20"/>
          <w:spacing w:val="-27"/>
        </w:rPr>
        <w:t xml:space="preserve"> </w:t>
      </w:r>
      <w:r>
        <w:rPr>
          <w:color w:val="231F20"/>
          <w:spacing w:val="12"/>
        </w:rPr>
        <w:t>既不能转让考位也不能退</w:t>
      </w:r>
      <w:r>
        <w:rPr>
          <w:color w:val="231F20"/>
        </w:rPr>
        <w:t xml:space="preserve"> </w:t>
      </w:r>
      <w:r>
        <w:rPr>
          <w:color w:val="231F20"/>
          <w:spacing w:val="11"/>
        </w:rPr>
        <w:t>费</w:t>
      </w:r>
      <w:r>
        <w:rPr>
          <w:color w:val="231F20"/>
          <w:spacing w:val="23"/>
        </w:rPr>
        <w:t xml:space="preserve"> </w:t>
      </w:r>
      <w:r>
        <w:rPr>
          <w:color w:val="231F20"/>
          <w:spacing w:val="11"/>
        </w:rPr>
        <w:t>；还未注册的考生（或考试报名尚未截止时）</w:t>
      </w:r>
      <w:r>
        <w:rPr>
          <w:color w:val="231F20"/>
          <w:spacing w:val="-37"/>
        </w:rPr>
        <w:t xml:space="preserve"> </w:t>
      </w:r>
      <w:r>
        <w:rPr>
          <w:color w:val="231F20"/>
          <w:spacing w:val="11"/>
        </w:rPr>
        <w:t>可以转让考位</w:t>
      </w:r>
      <w:r>
        <w:rPr>
          <w:color w:val="231F20"/>
          <w:spacing w:val="-23"/>
        </w:rPr>
        <w:t xml:space="preserve"> </w:t>
      </w:r>
      <w:r>
        <w:rPr>
          <w:color w:val="231F20"/>
          <w:spacing w:val="11"/>
        </w:rPr>
        <w:t>，教材和费用等问题</w:t>
      </w:r>
      <w:r>
        <w:rPr>
          <w:color w:val="231F20"/>
          <w:spacing w:val="10"/>
        </w:rPr>
        <w:t xml:space="preserve"> 需转</w:t>
      </w:r>
      <w:r>
        <w:rPr>
          <w:color w:val="231F20"/>
        </w:rPr>
        <w:t xml:space="preserve"> </w:t>
      </w:r>
      <w:r>
        <w:rPr>
          <w:color w:val="231F20"/>
          <w:spacing w:val="7"/>
        </w:rPr>
        <w:t>让和被转让考生双方自行协调</w:t>
      </w:r>
      <w:r>
        <w:rPr>
          <w:color w:val="231F20"/>
          <w:spacing w:val="-15"/>
        </w:rPr>
        <w:t xml:space="preserve"> </w:t>
      </w:r>
      <w:r>
        <w:rPr>
          <w:color w:val="231F20"/>
          <w:spacing w:val="7"/>
        </w:rPr>
        <w:t>，并将最终转让结果告知报名机构。</w:t>
      </w:r>
    </w:p>
    <w:p w14:paraId="3259D4F5">
      <w:pPr>
        <w:spacing w:line="459" w:lineRule="auto"/>
        <w:rPr>
          <w:rFonts w:ascii="Arial"/>
          <w:sz w:val="21"/>
        </w:rPr>
      </w:pPr>
    </w:p>
    <w:p w14:paraId="23296D2C">
      <w:pPr>
        <w:pStyle w:val="2"/>
        <w:spacing w:before="95" w:line="226" w:lineRule="auto"/>
        <w:ind w:left="8"/>
        <w:rPr>
          <w:sz w:val="22"/>
          <w:szCs w:val="22"/>
        </w:rPr>
      </w:pPr>
      <w:r>
        <w:rPr>
          <w:b/>
          <w:bCs/>
          <w:color w:val="16A0DB"/>
          <w:spacing w:val="-5"/>
          <w:sz w:val="22"/>
          <w:szCs w:val="22"/>
        </w:rPr>
        <w:t>Q.</w:t>
      </w:r>
      <w:r>
        <w:rPr>
          <w:b/>
          <w:bCs/>
          <w:color w:val="16A0DB"/>
          <w:spacing w:val="15"/>
          <w:sz w:val="22"/>
          <w:szCs w:val="22"/>
        </w:rPr>
        <w:t xml:space="preserve">   </w:t>
      </w:r>
      <w:r>
        <w:rPr>
          <w:color w:val="231F20"/>
          <w:spacing w:val="-5"/>
          <w:sz w:val="22"/>
          <w:szCs w:val="22"/>
        </w:rPr>
        <w:t>考试有无历史真题、练习题等辅助资料？</w:t>
      </w:r>
    </w:p>
    <w:p w14:paraId="317EAEF7">
      <w:pPr>
        <w:pStyle w:val="2"/>
        <w:spacing w:before="66" w:line="202" w:lineRule="auto"/>
        <w:ind w:left="4" w:right="91" w:hanging="3"/>
      </w:pPr>
      <w:r>
        <w:rPr>
          <w:b/>
          <w:bCs/>
          <w:color w:val="9AA7AE"/>
          <w:spacing w:val="10"/>
        </w:rPr>
        <w:t>A</w:t>
      </w:r>
      <w:r>
        <w:rPr>
          <w:color w:val="9AA7AE"/>
          <w:spacing w:val="10"/>
        </w:rPr>
        <w:t xml:space="preserve">.   </w:t>
      </w:r>
      <w:r>
        <w:rPr>
          <w:color w:val="231F20"/>
          <w:spacing w:val="10"/>
        </w:rPr>
        <w:t>考生可以参加授权机构组织的线上或线下培训课程学习</w:t>
      </w:r>
      <w:r>
        <w:rPr>
          <w:color w:val="231F20"/>
          <w:spacing w:val="-16"/>
        </w:rPr>
        <w:t xml:space="preserve"> </w:t>
      </w:r>
      <w:r>
        <w:rPr>
          <w:color w:val="231F20"/>
          <w:spacing w:val="10"/>
        </w:rPr>
        <w:t>，积极备考</w:t>
      </w:r>
      <w:r>
        <w:rPr>
          <w:color w:val="231F20"/>
          <w:spacing w:val="-23"/>
        </w:rPr>
        <w:t xml:space="preserve"> </w:t>
      </w:r>
      <w:r>
        <w:rPr>
          <w:color w:val="231F20"/>
          <w:spacing w:val="10"/>
        </w:rPr>
        <w:t>，关于辅助资料请</w:t>
      </w:r>
      <w:r>
        <w:rPr>
          <w:color w:val="231F20"/>
        </w:rPr>
        <w:t xml:space="preserve"> </w:t>
      </w:r>
      <w:r>
        <w:rPr>
          <w:color w:val="231F20"/>
          <w:spacing w:val="10"/>
        </w:rPr>
        <w:t>咨询报名的授权推广培训机构。</w:t>
      </w:r>
    </w:p>
    <w:p w14:paraId="3394E221">
      <w:pPr>
        <w:spacing w:line="452" w:lineRule="auto"/>
        <w:rPr>
          <w:rFonts w:ascii="Arial"/>
          <w:sz w:val="21"/>
        </w:rPr>
      </w:pPr>
    </w:p>
    <w:p w14:paraId="24C5A054">
      <w:pPr>
        <w:pStyle w:val="2"/>
        <w:spacing w:before="94" w:line="226" w:lineRule="auto"/>
        <w:ind w:left="8"/>
        <w:rPr>
          <w:sz w:val="22"/>
          <w:szCs w:val="22"/>
        </w:rPr>
      </w:pPr>
      <w:r>
        <w:rPr>
          <w:b/>
          <w:bCs/>
          <w:color w:val="16A0DB"/>
          <w:spacing w:val="-3"/>
          <w:sz w:val="22"/>
          <w:szCs w:val="22"/>
        </w:rPr>
        <w:t>Q.</w:t>
      </w:r>
      <w:r>
        <w:rPr>
          <w:b/>
          <w:bCs/>
          <w:color w:val="16A0DB"/>
          <w:spacing w:val="29"/>
          <w:sz w:val="22"/>
          <w:szCs w:val="22"/>
        </w:rPr>
        <w:t xml:space="preserve">  </w:t>
      </w:r>
      <w:r>
        <w:rPr>
          <w:color w:val="231F20"/>
          <w:spacing w:val="-3"/>
          <w:sz w:val="22"/>
          <w:szCs w:val="22"/>
        </w:rPr>
        <w:t>是否可以先购买教材</w:t>
      </w:r>
      <w:r>
        <w:rPr>
          <w:color w:val="231F20"/>
          <w:spacing w:val="-37"/>
          <w:sz w:val="22"/>
          <w:szCs w:val="22"/>
        </w:rPr>
        <w:t xml:space="preserve"> </w:t>
      </w:r>
      <w:r>
        <w:rPr>
          <w:color w:val="231F20"/>
          <w:spacing w:val="-3"/>
          <w:sz w:val="22"/>
          <w:szCs w:val="22"/>
        </w:rPr>
        <w:t>，复习之后再考虑报名？在何处能买到教</w:t>
      </w:r>
      <w:r>
        <w:rPr>
          <w:color w:val="231F20"/>
          <w:spacing w:val="-4"/>
          <w:sz w:val="22"/>
          <w:szCs w:val="22"/>
        </w:rPr>
        <w:t>材？</w:t>
      </w:r>
    </w:p>
    <w:p w14:paraId="40334F48">
      <w:pPr>
        <w:pStyle w:val="2"/>
        <w:spacing w:before="88" w:line="211" w:lineRule="auto"/>
        <w:ind w:left="1" w:right="182"/>
      </w:pPr>
      <w:r>
        <w:rPr>
          <w:b/>
          <w:bCs/>
          <w:color w:val="9AA7AE"/>
          <w:spacing w:val="16"/>
        </w:rPr>
        <w:t>A</w:t>
      </w:r>
      <w:r>
        <w:rPr>
          <w:color w:val="9AA7AE"/>
          <w:spacing w:val="16"/>
        </w:rPr>
        <w:t xml:space="preserve">.   </w:t>
      </w:r>
      <w:r>
        <w:rPr>
          <w:color w:val="231F20"/>
          <w:spacing w:val="16"/>
        </w:rPr>
        <w:t>不可以。</w:t>
      </w:r>
      <w:r>
        <w:rPr>
          <w:color w:val="231F20"/>
          <w:spacing w:val="-23"/>
        </w:rPr>
        <w:t xml:space="preserve"> </w:t>
      </w:r>
      <w:r>
        <w:rPr>
          <w:color w:val="231F20"/>
        </w:rPr>
        <w:t>FRR</w:t>
      </w:r>
      <w:r>
        <w:rPr>
          <w:color w:val="231F20"/>
          <w:spacing w:val="16"/>
        </w:rPr>
        <w:t>教材需在考生缴纳报名</w:t>
      </w:r>
      <w:r>
        <w:rPr>
          <w:color w:val="231F20"/>
          <w:spacing w:val="15"/>
        </w:rPr>
        <w:t>费后由授权推广机构发放给考生。考试报名费</w:t>
      </w:r>
      <w:r>
        <w:rPr>
          <w:color w:val="231F20"/>
        </w:rPr>
        <w:t xml:space="preserve"> </w:t>
      </w:r>
      <w:r>
        <w:rPr>
          <w:color w:val="231F20"/>
          <w:spacing w:val="6"/>
        </w:rPr>
        <w:t>包含教材费</w:t>
      </w:r>
      <w:r>
        <w:rPr>
          <w:color w:val="231F20"/>
          <w:spacing w:val="-28"/>
        </w:rPr>
        <w:t xml:space="preserve"> </w:t>
      </w:r>
      <w:r>
        <w:rPr>
          <w:color w:val="231F20"/>
          <w:spacing w:val="6"/>
        </w:rPr>
        <w:t>，教材无其他出售渠道</w:t>
      </w:r>
      <w:r>
        <w:rPr>
          <w:color w:val="231F20"/>
          <w:spacing w:val="-28"/>
        </w:rPr>
        <w:t xml:space="preserve"> </w:t>
      </w:r>
      <w:r>
        <w:rPr>
          <w:color w:val="231F20"/>
          <w:spacing w:val="6"/>
        </w:rPr>
        <w:t>，也不支持单独购买。</w:t>
      </w:r>
    </w:p>
    <w:p w14:paraId="452394F0">
      <w:pPr>
        <w:spacing w:line="211" w:lineRule="auto"/>
        <w:sectPr>
          <w:footerReference r:id="rId13" w:type="default"/>
          <w:pgSz w:w="10660" w:h="15081"/>
          <w:pgMar w:top="1178" w:right="1157" w:bottom="325" w:left="1132" w:header="0" w:footer="0" w:gutter="0"/>
          <w:cols w:space="720" w:num="1"/>
        </w:sectPr>
      </w:pPr>
      <w:r>
        <w:rPr>
          <w:rFonts w:hint="eastAsia" w:ascii="微软雅黑" w:hAnsi="微软雅黑" w:eastAsia="微软雅黑" w:cs="微软雅黑"/>
          <w:sz w:val="71"/>
          <w:szCs w:val="71"/>
          <w:lang w:eastAsia="zh-CN"/>
        </w:rPr>
        <w:drawing>
          <wp:anchor distT="0" distB="0" distL="114300" distR="114300" simplePos="0" relativeHeight="251694080" behindDoc="0" locked="0" layoutInCell="1" allowOverlap="1">
            <wp:simplePos x="0" y="0"/>
            <wp:positionH relativeFrom="column">
              <wp:posOffset>-708025</wp:posOffset>
            </wp:positionH>
            <wp:positionV relativeFrom="paragraph">
              <wp:posOffset>1184275</wp:posOffset>
            </wp:positionV>
            <wp:extent cx="6795770" cy="384810"/>
            <wp:effectExtent l="0" t="0" r="1270" b="11430"/>
            <wp:wrapNone/>
            <wp:docPr id="9" name="图片 9" descr="文字文稿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文字文稿1_01"/>
                    <pic:cNvPicPr>
                      <a:picLocks noChangeAspect="1"/>
                    </pic:cNvPicPr>
                  </pic:nvPicPr>
                  <pic:blipFill>
                    <a:blip r:embed="rId36">
                      <a:lum contrast="6000"/>
                    </a:blip>
                    <a:srcRect t="96008"/>
                    <a:stretch>
                      <a:fillRect/>
                    </a:stretch>
                  </pic:blipFill>
                  <pic:spPr>
                    <a:xfrm>
                      <a:off x="0" y="0"/>
                      <a:ext cx="6795770" cy="384810"/>
                    </a:xfrm>
                    <a:prstGeom prst="rect">
                      <a:avLst/>
                    </a:prstGeom>
                  </pic:spPr>
                </pic:pic>
              </a:graphicData>
            </a:graphic>
          </wp:anchor>
        </w:drawing>
      </w:r>
    </w:p>
    <w:p w14:paraId="6E0DD2B3">
      <w:pPr>
        <w:pStyle w:val="2"/>
        <w:spacing w:before="139" w:line="194" w:lineRule="auto"/>
        <w:ind w:left="7"/>
        <w:rPr>
          <w:sz w:val="49"/>
          <w:szCs w:val="49"/>
        </w:rPr>
      </w:pPr>
      <w:r>
        <w:rPr>
          <w:color w:val="7F7F7F"/>
          <w:spacing w:val="36"/>
          <w:sz w:val="49"/>
          <w:szCs w:val="49"/>
        </w:rPr>
        <w:t>金融风险与监管</w:t>
      </w:r>
      <w:r>
        <w:rPr>
          <w:color w:val="7F7F7F"/>
          <w:sz w:val="49"/>
          <w:szCs w:val="49"/>
        </w:rPr>
        <w:t>FRR</w:t>
      </w:r>
      <w:r>
        <w:rPr>
          <w:color w:val="7F7F7F"/>
          <w:position w:val="22"/>
          <w:sz w:val="28"/>
          <w:szCs w:val="28"/>
        </w:rPr>
        <w:t>TM</w:t>
      </w:r>
      <w:r>
        <w:rPr>
          <w:color w:val="7F7F7F"/>
          <w:spacing w:val="36"/>
          <w:sz w:val="49"/>
          <w:szCs w:val="49"/>
        </w:rPr>
        <w:t>系列丛书</w:t>
      </w:r>
    </w:p>
    <w:p w14:paraId="601A6287">
      <w:pPr>
        <w:spacing w:line="417" w:lineRule="auto"/>
        <w:rPr>
          <w:rFonts w:ascii="Arial"/>
          <w:sz w:val="21"/>
        </w:rPr>
      </w:pPr>
    </w:p>
    <w:p w14:paraId="71236FDE">
      <w:pPr>
        <w:pStyle w:val="2"/>
        <w:spacing w:before="120" w:line="184" w:lineRule="auto"/>
        <w:ind w:left="8"/>
        <w:rPr>
          <w:sz w:val="28"/>
          <w:szCs w:val="28"/>
        </w:rPr>
      </w:pPr>
      <w:r>
        <w:rPr>
          <w:color w:val="231F20"/>
          <w:spacing w:val="-4"/>
          <w:sz w:val="28"/>
          <w:szCs w:val="28"/>
        </w:rPr>
        <w:t>本丛书涵盖了全面的金融风险与监管知识</w:t>
      </w:r>
      <w:r>
        <w:rPr>
          <w:color w:val="231F20"/>
          <w:spacing w:val="-27"/>
          <w:sz w:val="28"/>
          <w:szCs w:val="28"/>
        </w:rPr>
        <w:t xml:space="preserve"> </w:t>
      </w:r>
      <w:r>
        <w:rPr>
          <w:color w:val="231F20"/>
          <w:spacing w:val="-4"/>
          <w:sz w:val="28"/>
          <w:szCs w:val="28"/>
        </w:rPr>
        <w:t>，包括以下四册内容：</w:t>
      </w:r>
    </w:p>
    <w:p w14:paraId="03B7CC5C">
      <w:pPr>
        <w:spacing w:line="304" w:lineRule="auto"/>
        <w:rPr>
          <w:rFonts w:ascii="Arial"/>
          <w:sz w:val="21"/>
        </w:rPr>
      </w:pPr>
    </w:p>
    <w:p w14:paraId="3EE7B3AA">
      <w:pPr>
        <w:spacing w:line="304" w:lineRule="auto"/>
        <w:rPr>
          <w:rFonts w:ascii="Arial"/>
          <w:sz w:val="21"/>
        </w:rPr>
      </w:pPr>
    </w:p>
    <w:p w14:paraId="47103EA7">
      <w:pPr>
        <w:spacing w:line="304" w:lineRule="auto"/>
        <w:rPr>
          <w:rFonts w:ascii="Arial"/>
          <w:sz w:val="21"/>
        </w:rPr>
      </w:pPr>
    </w:p>
    <w:p w14:paraId="7F4DAEAE">
      <w:pPr>
        <w:pStyle w:val="2"/>
        <w:spacing w:before="120" w:line="229" w:lineRule="auto"/>
        <w:rPr>
          <w:sz w:val="28"/>
          <w:szCs w:val="28"/>
        </w:rPr>
      </w:pPr>
      <w:r>
        <w:rPr>
          <w:b/>
          <w:bCs/>
          <w:color w:val="7F7F7F"/>
          <w:spacing w:val="12"/>
          <w:sz w:val="28"/>
          <w:szCs w:val="28"/>
        </w:rPr>
        <w:t>《信用风险管理》</w:t>
      </w:r>
    </w:p>
    <w:p w14:paraId="09086691">
      <w:pPr>
        <w:spacing w:line="350" w:lineRule="auto"/>
        <w:rPr>
          <w:rFonts w:ascii="Arial"/>
          <w:sz w:val="21"/>
        </w:rPr>
      </w:pPr>
    </w:p>
    <w:p w14:paraId="4B9B6782">
      <w:pPr>
        <w:pStyle w:val="2"/>
        <w:spacing w:before="103" w:line="184" w:lineRule="auto"/>
        <w:ind w:left="5"/>
        <w:rPr>
          <w:sz w:val="24"/>
          <w:szCs w:val="24"/>
        </w:rPr>
      </w:pPr>
      <w:r>
        <w:rPr>
          <w:color w:val="231F20"/>
          <w:spacing w:val="-1"/>
          <w:sz w:val="24"/>
          <w:szCs w:val="24"/>
        </w:rPr>
        <w:t>第一章：信用风险评估</w:t>
      </w:r>
    </w:p>
    <w:p w14:paraId="12189174">
      <w:pPr>
        <w:pStyle w:val="2"/>
        <w:spacing w:before="103" w:line="190" w:lineRule="auto"/>
        <w:ind w:left="20"/>
      </w:pPr>
      <w:r>
        <w:rPr>
          <w:color w:val="231F20"/>
          <w:spacing w:val="4"/>
        </w:rPr>
        <w:t>•</w:t>
      </w:r>
      <w:r>
        <w:rPr>
          <w:color w:val="231F20"/>
          <w:spacing w:val="12"/>
        </w:rPr>
        <w:t xml:space="preserve">    </w:t>
      </w:r>
      <w:r>
        <w:rPr>
          <w:color w:val="231F20"/>
          <w:spacing w:val="4"/>
        </w:rPr>
        <w:t>信用风险的核心概念</w:t>
      </w:r>
    </w:p>
    <w:p w14:paraId="1086DB5B">
      <w:pPr>
        <w:pStyle w:val="2"/>
        <w:spacing w:before="79" w:line="183" w:lineRule="auto"/>
        <w:ind w:left="20"/>
      </w:pPr>
      <w:r>
        <w:rPr>
          <w:color w:val="231F20"/>
          <w:spacing w:val="6"/>
          <w:position w:val="1"/>
        </w:rPr>
        <w:t>•</w:t>
      </w:r>
      <w:r>
        <w:rPr>
          <w:color w:val="231F20"/>
          <w:spacing w:val="10"/>
          <w:position w:val="1"/>
        </w:rPr>
        <w:t xml:space="preserve">    </w:t>
      </w:r>
      <w:r>
        <w:rPr>
          <w:color w:val="231F20"/>
          <w:spacing w:val="6"/>
        </w:rPr>
        <w:t>评估信用风险的标准量化方法</w:t>
      </w:r>
    </w:p>
    <w:p w14:paraId="334D3200">
      <w:pPr>
        <w:pStyle w:val="2"/>
        <w:spacing w:before="76" w:line="190" w:lineRule="auto"/>
        <w:ind w:left="20"/>
      </w:pPr>
      <w:r>
        <w:rPr>
          <w:color w:val="231F20"/>
          <w:spacing w:val="7"/>
        </w:rPr>
        <w:t>•    预期信用损失与非预期信用损失之间的差异</w:t>
      </w:r>
    </w:p>
    <w:p w14:paraId="602C1930">
      <w:pPr>
        <w:spacing w:line="454" w:lineRule="auto"/>
        <w:rPr>
          <w:rFonts w:ascii="Arial"/>
          <w:sz w:val="21"/>
        </w:rPr>
      </w:pPr>
    </w:p>
    <w:p w14:paraId="69EFCAF7">
      <w:pPr>
        <w:pStyle w:val="2"/>
        <w:spacing w:before="104" w:line="184" w:lineRule="auto"/>
        <w:ind w:left="5"/>
        <w:rPr>
          <w:sz w:val="24"/>
          <w:szCs w:val="24"/>
        </w:rPr>
      </w:pPr>
      <w:r>
        <w:rPr>
          <w:color w:val="231F20"/>
          <w:spacing w:val="-2"/>
          <w:sz w:val="24"/>
          <w:szCs w:val="24"/>
        </w:rPr>
        <w:t>第二章：信用产品的风险</w:t>
      </w:r>
    </w:p>
    <w:p w14:paraId="4A70688B">
      <w:pPr>
        <w:pStyle w:val="2"/>
        <w:spacing w:before="78" w:line="247" w:lineRule="auto"/>
        <w:ind w:left="422" w:right="112" w:hanging="402"/>
      </w:pPr>
      <w:r>
        <w:rPr>
          <w:color w:val="231F20"/>
          <w:spacing w:val="9"/>
        </w:rPr>
        <w:t>•    不同银行业务领域中的信用风险</w:t>
      </w:r>
      <w:r>
        <w:rPr>
          <w:color w:val="231F20"/>
          <w:spacing w:val="-25"/>
        </w:rPr>
        <w:t xml:space="preserve"> </w:t>
      </w:r>
      <w:r>
        <w:rPr>
          <w:color w:val="231F20"/>
          <w:spacing w:val="9"/>
        </w:rPr>
        <w:t>，包括零售、</w:t>
      </w:r>
      <w:r>
        <w:rPr>
          <w:color w:val="231F20"/>
          <w:spacing w:val="-31"/>
        </w:rPr>
        <w:t xml:space="preserve"> </w:t>
      </w:r>
      <w:r>
        <w:rPr>
          <w:color w:val="231F20"/>
          <w:spacing w:val="9"/>
        </w:rPr>
        <w:t>中小型企业（</w:t>
      </w:r>
      <w:r>
        <w:rPr>
          <w:color w:val="231F20"/>
          <w:spacing w:val="-23"/>
        </w:rPr>
        <w:t xml:space="preserve"> </w:t>
      </w:r>
      <w:r>
        <w:rPr>
          <w:color w:val="231F20"/>
        </w:rPr>
        <w:t>SME</w:t>
      </w:r>
      <w:r>
        <w:rPr>
          <w:color w:val="231F20"/>
          <w:spacing w:val="9"/>
        </w:rPr>
        <w:t>）</w:t>
      </w:r>
      <w:r>
        <w:rPr>
          <w:color w:val="231F20"/>
          <w:spacing w:val="-32"/>
        </w:rPr>
        <w:t xml:space="preserve"> </w:t>
      </w:r>
      <w:r>
        <w:rPr>
          <w:color w:val="231F20"/>
          <w:spacing w:val="8"/>
        </w:rPr>
        <w:t>、大型企业以及主</w:t>
      </w:r>
      <w:r>
        <w:rPr>
          <w:color w:val="231F20"/>
        </w:rPr>
        <w:t xml:space="preserve"> </w:t>
      </w:r>
      <w:r>
        <w:rPr>
          <w:color w:val="231F20"/>
          <w:spacing w:val="8"/>
        </w:rPr>
        <w:t>权敞口等</w:t>
      </w:r>
    </w:p>
    <w:p w14:paraId="34B703B5">
      <w:pPr>
        <w:pStyle w:val="2"/>
        <w:spacing w:before="81" w:line="190" w:lineRule="auto"/>
        <w:ind w:left="20"/>
      </w:pPr>
      <w:r>
        <w:rPr>
          <w:color w:val="231F20"/>
          <w:spacing w:val="6"/>
        </w:rPr>
        <w:t>•    信用风险模型</w:t>
      </w:r>
      <w:r>
        <w:rPr>
          <w:color w:val="231F20"/>
          <w:spacing w:val="-17"/>
        </w:rPr>
        <w:t xml:space="preserve"> </w:t>
      </w:r>
      <w:r>
        <w:rPr>
          <w:color w:val="231F20"/>
          <w:spacing w:val="6"/>
        </w:rPr>
        <w:t>，包括</w:t>
      </w:r>
      <w:r>
        <w:rPr>
          <w:rFonts w:hint="eastAsia"/>
          <w:color w:val="231F20"/>
          <w:spacing w:val="6"/>
          <w:lang w:eastAsia="zh-CN"/>
        </w:rPr>
        <w:t>计分卡</w:t>
      </w:r>
      <w:r>
        <w:rPr>
          <w:color w:val="231F20"/>
          <w:spacing w:val="6"/>
        </w:rPr>
        <w:t>和违约距离模型</w:t>
      </w:r>
    </w:p>
    <w:p w14:paraId="1A314976">
      <w:pPr>
        <w:pStyle w:val="2"/>
        <w:spacing w:before="24" w:line="229" w:lineRule="auto"/>
        <w:ind w:left="20"/>
      </w:pPr>
      <w:r>
        <w:rPr>
          <w:color w:val="231F20"/>
          <w:spacing w:val="5"/>
        </w:rPr>
        <w:t>•</w:t>
      </w:r>
      <w:r>
        <w:rPr>
          <w:color w:val="231F20"/>
          <w:spacing w:val="13"/>
        </w:rPr>
        <w:t xml:space="preserve">    </w:t>
      </w:r>
      <w:r>
        <w:rPr>
          <w:color w:val="231F20"/>
          <w:spacing w:val="5"/>
        </w:rPr>
        <w:t>信用价值调整（</w:t>
      </w:r>
      <w:r>
        <w:rPr>
          <w:color w:val="231F20"/>
          <w:spacing w:val="-26"/>
        </w:rPr>
        <w:t xml:space="preserve"> </w:t>
      </w:r>
      <w:r>
        <w:rPr>
          <w:color w:val="231F20"/>
        </w:rPr>
        <w:t>CVA</w:t>
      </w:r>
      <w:r>
        <w:rPr>
          <w:color w:val="231F20"/>
          <w:spacing w:val="5"/>
        </w:rPr>
        <w:t>）</w:t>
      </w:r>
    </w:p>
    <w:p w14:paraId="3FACEAB1">
      <w:pPr>
        <w:pStyle w:val="2"/>
        <w:spacing w:before="209" w:line="184" w:lineRule="auto"/>
        <w:ind w:left="5"/>
        <w:rPr>
          <w:sz w:val="24"/>
          <w:szCs w:val="24"/>
        </w:rPr>
      </w:pPr>
      <w:r>
        <w:rPr>
          <w:color w:val="231F20"/>
          <w:spacing w:val="-1"/>
          <w:sz w:val="24"/>
          <w:szCs w:val="24"/>
        </w:rPr>
        <w:t>第三章：信用风险组合管理</w:t>
      </w:r>
    </w:p>
    <w:p w14:paraId="2E1BF95B">
      <w:pPr>
        <w:pStyle w:val="2"/>
        <w:spacing w:before="104" w:line="189" w:lineRule="auto"/>
        <w:ind w:left="20"/>
      </w:pPr>
      <w:r>
        <w:rPr>
          <w:color w:val="231F20"/>
          <w:spacing w:val="4"/>
        </w:rPr>
        <w:t>•</w:t>
      </w:r>
      <w:r>
        <w:rPr>
          <w:color w:val="231F20"/>
          <w:spacing w:val="10"/>
        </w:rPr>
        <w:t xml:space="preserve">    </w:t>
      </w:r>
      <w:r>
        <w:rPr>
          <w:color w:val="231F20"/>
          <w:spacing w:val="4"/>
        </w:rPr>
        <w:t>信用风险的相关性</w:t>
      </w:r>
    </w:p>
    <w:p w14:paraId="27ABF009">
      <w:pPr>
        <w:pStyle w:val="2"/>
        <w:spacing w:before="36" w:line="229" w:lineRule="auto"/>
        <w:ind w:left="20"/>
      </w:pPr>
      <w:r>
        <w:rPr>
          <w:color w:val="231F20"/>
          <w:spacing w:val="14"/>
        </w:rPr>
        <w:t>•    信用违约互换（</w:t>
      </w:r>
      <w:r>
        <w:rPr>
          <w:color w:val="231F20"/>
          <w:spacing w:val="-21"/>
        </w:rPr>
        <w:t xml:space="preserve"> </w:t>
      </w:r>
      <w:r>
        <w:rPr>
          <w:color w:val="231F20"/>
        </w:rPr>
        <w:t>CDS</w:t>
      </w:r>
      <w:r>
        <w:rPr>
          <w:color w:val="231F20"/>
          <w:spacing w:val="14"/>
        </w:rPr>
        <w:t>）</w:t>
      </w:r>
      <w:r>
        <w:rPr>
          <w:color w:val="231F20"/>
          <w:spacing w:val="-29"/>
        </w:rPr>
        <w:t xml:space="preserve"> </w:t>
      </w:r>
      <w:r>
        <w:rPr>
          <w:color w:val="231F20"/>
          <w:spacing w:val="14"/>
        </w:rPr>
        <w:t>的两种形式（单一</w:t>
      </w:r>
      <w:r>
        <w:rPr>
          <w:color w:val="231F20"/>
          <w:spacing w:val="13"/>
        </w:rPr>
        <w:t>发行人</w:t>
      </w:r>
      <w:r>
        <w:rPr>
          <w:color w:val="231F20"/>
        </w:rPr>
        <w:t>CDS</w:t>
      </w:r>
      <w:r>
        <w:rPr>
          <w:color w:val="231F20"/>
          <w:spacing w:val="13"/>
        </w:rPr>
        <w:t>与</w:t>
      </w:r>
      <w:r>
        <w:rPr>
          <w:color w:val="231F20"/>
        </w:rPr>
        <w:t>CDS</w:t>
      </w:r>
      <w:r>
        <w:rPr>
          <w:color w:val="231F20"/>
          <w:spacing w:val="13"/>
        </w:rPr>
        <w:t>指数）</w:t>
      </w:r>
    </w:p>
    <w:p w14:paraId="132018C4">
      <w:pPr>
        <w:pStyle w:val="2"/>
        <w:spacing w:before="56" w:line="190" w:lineRule="auto"/>
        <w:ind w:left="20"/>
      </w:pPr>
      <w:r>
        <w:rPr>
          <w:color w:val="231F20"/>
          <w:spacing w:val="3"/>
        </w:rPr>
        <w:t>•</w:t>
      </w:r>
      <w:r>
        <w:rPr>
          <w:color w:val="231F20"/>
          <w:spacing w:val="14"/>
        </w:rPr>
        <w:t xml:space="preserve">    </w:t>
      </w:r>
      <w:r>
        <w:rPr>
          <w:color w:val="231F20"/>
          <w:spacing w:val="3"/>
        </w:rPr>
        <w:t>问题资产与不良贷款</w:t>
      </w:r>
    </w:p>
    <w:p w14:paraId="6A8F1BCF">
      <w:pPr>
        <w:pStyle w:val="2"/>
        <w:spacing w:before="220" w:line="184" w:lineRule="auto"/>
        <w:ind w:left="5"/>
        <w:rPr>
          <w:sz w:val="24"/>
          <w:szCs w:val="24"/>
        </w:rPr>
      </w:pPr>
      <w:r>
        <w:rPr>
          <w:color w:val="231F20"/>
          <w:spacing w:val="-2"/>
          <w:sz w:val="24"/>
          <w:szCs w:val="24"/>
        </w:rPr>
        <w:t>第四章：信用风险的监管视角</w:t>
      </w:r>
    </w:p>
    <w:p w14:paraId="62A21331">
      <w:pPr>
        <w:pStyle w:val="2"/>
        <w:spacing w:before="74" w:line="251" w:lineRule="auto"/>
        <w:ind w:left="20" w:firstLine="134"/>
      </w:pPr>
      <w:r>
        <w:rPr>
          <w:color w:val="231F20"/>
          <w:spacing w:val="3"/>
        </w:rPr>
        <w:t>•     巴塞尔协议 Ⅰ</w:t>
      </w:r>
      <w:r>
        <w:rPr>
          <w:color w:val="231F20"/>
          <w:spacing w:val="-17"/>
        </w:rPr>
        <w:t xml:space="preserve"> </w:t>
      </w:r>
      <w:r>
        <w:rPr>
          <w:color w:val="231F20"/>
          <w:spacing w:val="3"/>
        </w:rPr>
        <w:t>,  Ⅱ和Ⅲ的演变；每</w:t>
      </w:r>
      <w:r>
        <w:rPr>
          <w:color w:val="231F20"/>
          <w:spacing w:val="2"/>
        </w:rPr>
        <w:t>个协议的缺点</w:t>
      </w:r>
      <w:r>
        <w:rPr>
          <w:color w:val="231F20"/>
          <w:spacing w:val="-27"/>
        </w:rPr>
        <w:t xml:space="preserve"> </w:t>
      </w:r>
      <w:r>
        <w:rPr>
          <w:color w:val="231F20"/>
          <w:spacing w:val="2"/>
        </w:rPr>
        <w:t>，以及进一步克服这些缺点的解释说明</w:t>
      </w:r>
      <w:r>
        <w:rPr>
          <w:color w:val="231F20"/>
        </w:rPr>
        <w:t xml:space="preserve"> </w:t>
      </w:r>
      <w:r>
        <w:rPr>
          <w:color w:val="231F20"/>
          <w:spacing w:val="3"/>
        </w:rPr>
        <w:t>•</w:t>
      </w:r>
      <w:r>
        <w:rPr>
          <w:color w:val="231F20"/>
          <w:spacing w:val="9"/>
        </w:rPr>
        <w:t xml:space="preserve">    </w:t>
      </w:r>
      <w:r>
        <w:rPr>
          <w:color w:val="231F20"/>
          <w:spacing w:val="3"/>
        </w:rPr>
        <w:t>压力测试资本</w:t>
      </w:r>
    </w:p>
    <w:p w14:paraId="2B24E8A5">
      <w:pPr>
        <w:pStyle w:val="2"/>
        <w:spacing w:before="12" w:line="190" w:lineRule="auto"/>
        <w:ind w:left="20"/>
      </w:pPr>
      <w:r>
        <w:rPr>
          <w:color w:val="231F20"/>
          <w:spacing w:val="6"/>
        </w:rPr>
        <w:t>•</w:t>
      </w:r>
      <w:r>
        <w:rPr>
          <w:color w:val="231F20"/>
          <w:spacing w:val="12"/>
        </w:rPr>
        <w:t xml:space="preserve">    </w:t>
      </w:r>
      <w:r>
        <w:rPr>
          <w:color w:val="231F20"/>
          <w:spacing w:val="6"/>
        </w:rPr>
        <w:t>美国与全球监管条例和监管机构</w:t>
      </w:r>
    </w:p>
    <w:p w14:paraId="7B3AFFAE">
      <w:pPr>
        <w:spacing w:line="190" w:lineRule="auto"/>
        <w:sectPr>
          <w:footerReference r:id="rId14" w:type="default"/>
          <w:pgSz w:w="10660" w:h="15081"/>
          <w:pgMar w:top="1281" w:right="1171" w:bottom="325" w:left="1129" w:header="0" w:footer="0" w:gutter="0"/>
          <w:cols w:space="720" w:num="1"/>
        </w:sectPr>
      </w:pPr>
      <w:r>
        <w:rPr>
          <w:rFonts w:hint="eastAsia" w:ascii="微软雅黑" w:hAnsi="微软雅黑" w:eastAsia="微软雅黑" w:cs="微软雅黑"/>
          <w:sz w:val="71"/>
          <w:szCs w:val="71"/>
          <w:lang w:eastAsia="zh-CN"/>
        </w:rPr>
        <w:drawing>
          <wp:anchor distT="0" distB="0" distL="114300" distR="114300" simplePos="0" relativeHeight="251695104" behindDoc="0" locked="0" layoutInCell="1" allowOverlap="1">
            <wp:simplePos x="0" y="0"/>
            <wp:positionH relativeFrom="column">
              <wp:posOffset>-706120</wp:posOffset>
            </wp:positionH>
            <wp:positionV relativeFrom="paragraph">
              <wp:posOffset>1657985</wp:posOffset>
            </wp:positionV>
            <wp:extent cx="6795770" cy="384810"/>
            <wp:effectExtent l="0" t="0" r="1270" b="11430"/>
            <wp:wrapNone/>
            <wp:docPr id="11" name="图片 11" descr="文字文稿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文字文稿1_01"/>
                    <pic:cNvPicPr>
                      <a:picLocks noChangeAspect="1"/>
                    </pic:cNvPicPr>
                  </pic:nvPicPr>
                  <pic:blipFill>
                    <a:blip r:embed="rId36">
                      <a:lum contrast="6000"/>
                    </a:blip>
                    <a:srcRect t="96008"/>
                    <a:stretch>
                      <a:fillRect/>
                    </a:stretch>
                  </pic:blipFill>
                  <pic:spPr>
                    <a:xfrm>
                      <a:off x="0" y="0"/>
                      <a:ext cx="6795770" cy="384810"/>
                    </a:xfrm>
                    <a:prstGeom prst="rect">
                      <a:avLst/>
                    </a:prstGeom>
                  </pic:spPr>
                </pic:pic>
              </a:graphicData>
            </a:graphic>
          </wp:anchor>
        </w:drawing>
      </w:r>
    </w:p>
    <w:p w14:paraId="0066C430">
      <w:pPr>
        <w:pStyle w:val="2"/>
        <w:spacing w:before="358" w:line="229" w:lineRule="auto"/>
        <w:rPr>
          <w:sz w:val="28"/>
          <w:szCs w:val="28"/>
        </w:rPr>
      </w:pPr>
      <w:r>
        <w:rPr>
          <w:b/>
          <w:bCs/>
          <w:color w:val="7F7F7F"/>
          <w:spacing w:val="12"/>
          <w:sz w:val="28"/>
          <w:szCs w:val="28"/>
        </w:rPr>
        <w:t>《市场风险管理》</w:t>
      </w:r>
    </w:p>
    <w:p w14:paraId="0D3924F4">
      <w:pPr>
        <w:spacing w:line="348" w:lineRule="auto"/>
        <w:rPr>
          <w:rFonts w:ascii="Arial"/>
          <w:sz w:val="21"/>
        </w:rPr>
      </w:pPr>
    </w:p>
    <w:p w14:paraId="73DA835E">
      <w:pPr>
        <w:pStyle w:val="2"/>
        <w:spacing w:before="103" w:line="184" w:lineRule="auto"/>
        <w:ind w:left="65"/>
        <w:rPr>
          <w:sz w:val="24"/>
          <w:szCs w:val="24"/>
        </w:rPr>
      </w:pPr>
      <w:r>
        <w:rPr>
          <w:color w:val="231F20"/>
          <w:spacing w:val="-1"/>
          <w:sz w:val="24"/>
          <w:szCs w:val="24"/>
        </w:rPr>
        <w:t>第一章：市场风险管理概述</w:t>
      </w:r>
    </w:p>
    <w:p w14:paraId="3F6E4B63">
      <w:pPr>
        <w:pStyle w:val="2"/>
        <w:spacing w:before="102" w:line="190" w:lineRule="auto"/>
        <w:ind w:left="95"/>
      </w:pPr>
      <w:r>
        <w:rPr>
          <w:color w:val="231F20"/>
          <w:spacing w:val="4"/>
        </w:rPr>
        <w:t>•</w:t>
      </w:r>
      <w:r>
        <w:rPr>
          <w:color w:val="231F20"/>
          <w:spacing w:val="11"/>
        </w:rPr>
        <w:t xml:space="preserve">    </w:t>
      </w:r>
      <w:r>
        <w:rPr>
          <w:color w:val="231F20"/>
          <w:spacing w:val="4"/>
        </w:rPr>
        <w:t>五种主要的市场风险</w:t>
      </w:r>
    </w:p>
    <w:p w14:paraId="15CCC017">
      <w:pPr>
        <w:pStyle w:val="2"/>
        <w:spacing w:before="76" w:line="183" w:lineRule="auto"/>
        <w:ind w:left="95"/>
      </w:pPr>
      <w:r>
        <w:rPr>
          <w:color w:val="231F20"/>
          <w:spacing w:val="4"/>
          <w:position w:val="1"/>
        </w:rPr>
        <w:t xml:space="preserve">•     </w:t>
      </w:r>
      <w:r>
        <w:rPr>
          <w:color w:val="231F20"/>
          <w:spacing w:val="4"/>
        </w:rPr>
        <w:t>以隐含波动率和隐含相关性表示的风险</w:t>
      </w:r>
    </w:p>
    <w:p w14:paraId="5A52EC8C">
      <w:pPr>
        <w:pStyle w:val="2"/>
        <w:spacing w:before="220" w:line="184" w:lineRule="auto"/>
        <w:ind w:left="65"/>
        <w:rPr>
          <w:sz w:val="24"/>
          <w:szCs w:val="24"/>
        </w:rPr>
      </w:pPr>
      <w:r>
        <w:rPr>
          <w:color w:val="231F20"/>
          <w:spacing w:val="-1"/>
          <w:sz w:val="24"/>
          <w:szCs w:val="24"/>
        </w:rPr>
        <w:t>第二章：外汇市场、工具和风险</w:t>
      </w:r>
    </w:p>
    <w:p w14:paraId="262DFB09">
      <w:pPr>
        <w:pStyle w:val="2"/>
        <w:spacing w:before="69" w:line="229" w:lineRule="auto"/>
        <w:ind w:left="95"/>
      </w:pPr>
      <w:r>
        <w:rPr>
          <w:color w:val="231F20"/>
          <w:spacing w:val="7"/>
        </w:rPr>
        <w:t>•    全球外汇（</w:t>
      </w:r>
      <w:r>
        <w:rPr>
          <w:color w:val="231F20"/>
          <w:spacing w:val="-7"/>
        </w:rPr>
        <w:t xml:space="preserve"> </w:t>
      </w:r>
      <w:r>
        <w:rPr>
          <w:color w:val="231F20"/>
        </w:rPr>
        <w:t>FX</w:t>
      </w:r>
      <w:r>
        <w:rPr>
          <w:color w:val="231F20"/>
          <w:spacing w:val="7"/>
        </w:rPr>
        <w:t>）市场中的标准工具</w:t>
      </w:r>
    </w:p>
    <w:p w14:paraId="4DE99AA4">
      <w:pPr>
        <w:pStyle w:val="2"/>
        <w:spacing w:before="57" w:line="189" w:lineRule="auto"/>
        <w:ind w:left="95"/>
      </w:pPr>
      <w:r>
        <w:rPr>
          <w:color w:val="231F20"/>
          <w:spacing w:val="3"/>
        </w:rPr>
        <w:t>•</w:t>
      </w:r>
      <w:r>
        <w:rPr>
          <w:color w:val="231F20"/>
          <w:spacing w:val="11"/>
        </w:rPr>
        <w:t xml:space="preserve">    </w:t>
      </w:r>
      <w:r>
        <w:rPr>
          <w:color w:val="231F20"/>
          <w:spacing w:val="3"/>
        </w:rPr>
        <w:t>外汇风险的产生</w:t>
      </w:r>
    </w:p>
    <w:p w14:paraId="54E4EDFC">
      <w:pPr>
        <w:pStyle w:val="2"/>
        <w:spacing w:before="81" w:line="189" w:lineRule="auto"/>
        <w:ind w:left="95"/>
      </w:pPr>
      <w:r>
        <w:rPr>
          <w:color w:val="231F20"/>
          <w:spacing w:val="7"/>
        </w:rPr>
        <w:t>•    奇异期权的概念</w:t>
      </w:r>
      <w:r>
        <w:rPr>
          <w:color w:val="231F20"/>
          <w:spacing w:val="-28"/>
        </w:rPr>
        <w:t xml:space="preserve"> </w:t>
      </w:r>
      <w:r>
        <w:rPr>
          <w:color w:val="231F20"/>
          <w:spacing w:val="7"/>
        </w:rPr>
        <w:t>，以及奇异期权</w:t>
      </w:r>
      <w:r>
        <w:rPr>
          <w:color w:val="231F20"/>
          <w:spacing w:val="6"/>
        </w:rPr>
        <w:t>中更复杂的风险</w:t>
      </w:r>
    </w:p>
    <w:p w14:paraId="3E883C32">
      <w:pPr>
        <w:pStyle w:val="2"/>
        <w:spacing w:before="219" w:line="184" w:lineRule="auto"/>
        <w:ind w:left="65"/>
        <w:rPr>
          <w:sz w:val="24"/>
          <w:szCs w:val="24"/>
        </w:rPr>
      </w:pPr>
      <w:r>
        <w:rPr>
          <w:color w:val="231F20"/>
          <w:spacing w:val="-1"/>
          <w:sz w:val="24"/>
          <w:szCs w:val="24"/>
        </w:rPr>
        <w:t>第三章：利率市场、工具和风险</w:t>
      </w:r>
    </w:p>
    <w:p w14:paraId="4188EB3D">
      <w:pPr>
        <w:pStyle w:val="2"/>
        <w:spacing w:before="103" w:line="190" w:lineRule="auto"/>
        <w:ind w:left="95"/>
      </w:pPr>
      <w:r>
        <w:rPr>
          <w:color w:val="231F20"/>
          <w:spacing w:val="4"/>
        </w:rPr>
        <w:t>•</w:t>
      </w:r>
      <w:r>
        <w:rPr>
          <w:color w:val="231F20"/>
          <w:spacing w:val="11"/>
        </w:rPr>
        <w:t xml:space="preserve">    </w:t>
      </w:r>
      <w:r>
        <w:rPr>
          <w:color w:val="231F20"/>
          <w:spacing w:val="4"/>
        </w:rPr>
        <w:t>短期与长期利率风险</w:t>
      </w:r>
    </w:p>
    <w:p w14:paraId="513A6A6C">
      <w:pPr>
        <w:pStyle w:val="2"/>
        <w:spacing w:before="73" w:line="189" w:lineRule="auto"/>
        <w:ind w:left="95"/>
      </w:pPr>
      <w:r>
        <w:rPr>
          <w:color w:val="231F20"/>
          <w:spacing w:val="3"/>
        </w:rPr>
        <w:t>•</w:t>
      </w:r>
      <w:r>
        <w:rPr>
          <w:color w:val="231F20"/>
          <w:spacing w:val="11"/>
        </w:rPr>
        <w:t xml:space="preserve">    </w:t>
      </w:r>
      <w:r>
        <w:rPr>
          <w:color w:val="231F20"/>
          <w:spacing w:val="3"/>
        </w:rPr>
        <w:t>久期与基点现值</w:t>
      </w:r>
    </w:p>
    <w:p w14:paraId="60656615">
      <w:pPr>
        <w:pStyle w:val="2"/>
        <w:spacing w:before="76" w:line="190" w:lineRule="auto"/>
        <w:ind w:left="95"/>
      </w:pPr>
      <w:r>
        <w:rPr>
          <w:color w:val="231F20"/>
          <w:spacing w:val="7"/>
        </w:rPr>
        <w:t>•    用以管理利率风险的主要衍生工具</w:t>
      </w:r>
    </w:p>
    <w:p w14:paraId="2051FA25">
      <w:pPr>
        <w:pStyle w:val="2"/>
        <w:spacing w:before="222" w:line="184" w:lineRule="auto"/>
        <w:ind w:left="65"/>
        <w:rPr>
          <w:sz w:val="24"/>
          <w:szCs w:val="24"/>
        </w:rPr>
      </w:pPr>
      <w:r>
        <w:rPr>
          <w:color w:val="231F20"/>
          <w:spacing w:val="-1"/>
          <w:sz w:val="24"/>
          <w:szCs w:val="24"/>
        </w:rPr>
        <w:t>第四章：股权和商品市场、工具及风险</w:t>
      </w:r>
    </w:p>
    <w:p w14:paraId="40E22CBB">
      <w:pPr>
        <w:pStyle w:val="2"/>
        <w:spacing w:before="112" w:line="190" w:lineRule="auto"/>
        <w:ind w:left="95"/>
      </w:pPr>
      <w:r>
        <w:rPr>
          <w:color w:val="231F20"/>
          <w:spacing w:val="7"/>
        </w:rPr>
        <w:t>•    股权现货和股权衍生品的市场风险</w:t>
      </w:r>
    </w:p>
    <w:p w14:paraId="209F5E30">
      <w:pPr>
        <w:pStyle w:val="2"/>
        <w:spacing w:before="79" w:line="190" w:lineRule="auto"/>
        <w:ind w:left="95"/>
      </w:pPr>
      <w:r>
        <w:rPr>
          <w:color w:val="231F20"/>
          <w:spacing w:val="7"/>
        </w:rPr>
        <w:t>•    大宗商品现货和大宗商品衍生品的市场风险</w:t>
      </w:r>
    </w:p>
    <w:p w14:paraId="339DB387">
      <w:pPr>
        <w:pStyle w:val="2"/>
        <w:spacing w:before="76" w:line="190" w:lineRule="auto"/>
        <w:ind w:left="95"/>
      </w:pPr>
      <w:r>
        <w:rPr>
          <w:color w:val="231F20"/>
          <w:spacing w:val="7"/>
        </w:rPr>
        <w:t>•    股权市场和大宗商品市场的价值驱动因子</w:t>
      </w:r>
    </w:p>
    <w:p w14:paraId="3EC423E7">
      <w:pPr>
        <w:pStyle w:val="2"/>
        <w:spacing w:before="81" w:line="189" w:lineRule="auto"/>
        <w:ind w:left="95"/>
      </w:pPr>
      <w:r>
        <w:rPr>
          <w:color w:val="231F20"/>
          <w:spacing w:val="8"/>
        </w:rPr>
        <w:t>•    交易所交易衍生品对比场外交易衍生品的风险敞口和特征</w:t>
      </w:r>
    </w:p>
    <w:p w14:paraId="374B4C7C">
      <w:pPr>
        <w:spacing w:line="457" w:lineRule="auto"/>
        <w:rPr>
          <w:rFonts w:ascii="Arial"/>
          <w:sz w:val="21"/>
        </w:rPr>
      </w:pPr>
    </w:p>
    <w:p w14:paraId="74D60E7F">
      <w:pPr>
        <w:pStyle w:val="2"/>
        <w:spacing w:before="103" w:line="184" w:lineRule="auto"/>
        <w:ind w:left="65"/>
        <w:rPr>
          <w:sz w:val="24"/>
          <w:szCs w:val="24"/>
        </w:rPr>
      </w:pPr>
      <w:r>
        <w:rPr>
          <w:color w:val="231F20"/>
          <w:spacing w:val="-1"/>
          <w:sz w:val="24"/>
          <w:szCs w:val="24"/>
        </w:rPr>
        <w:t>第五章：风险计量过程</w:t>
      </w:r>
    </w:p>
    <w:p w14:paraId="16A3B975">
      <w:pPr>
        <w:pStyle w:val="2"/>
        <w:spacing w:before="57" w:line="229" w:lineRule="auto"/>
        <w:ind w:left="95"/>
      </w:pPr>
      <w:r>
        <w:rPr>
          <w:color w:val="231F20"/>
          <w:spacing w:val="9"/>
        </w:rPr>
        <w:t>•</w:t>
      </w:r>
      <w:r>
        <w:rPr>
          <w:color w:val="231F20"/>
          <w:spacing w:val="12"/>
        </w:rPr>
        <w:t xml:space="preserve">    </w:t>
      </w:r>
      <w:r>
        <w:rPr>
          <w:color w:val="231F20"/>
          <w:spacing w:val="9"/>
        </w:rPr>
        <w:t>风险价值（</w:t>
      </w:r>
      <w:r>
        <w:rPr>
          <w:color w:val="231F20"/>
        </w:rPr>
        <w:t>VaR</w:t>
      </w:r>
      <w:r>
        <w:rPr>
          <w:color w:val="231F20"/>
          <w:spacing w:val="9"/>
        </w:rPr>
        <w:t>）</w:t>
      </w:r>
    </w:p>
    <w:p w14:paraId="287FA486">
      <w:pPr>
        <w:pStyle w:val="2"/>
        <w:spacing w:before="67" w:line="189" w:lineRule="auto"/>
        <w:ind w:left="95"/>
      </w:pPr>
      <w:r>
        <w:rPr>
          <w:color w:val="231F20"/>
          <w:spacing w:val="9"/>
        </w:rPr>
        <w:t>•</w:t>
      </w:r>
      <w:r>
        <w:rPr>
          <w:color w:val="231F20"/>
          <w:spacing w:val="16"/>
        </w:rPr>
        <w:t xml:space="preserve">    </w:t>
      </w:r>
      <w:r>
        <w:rPr>
          <w:color w:val="231F20"/>
          <w:spacing w:val="9"/>
        </w:rPr>
        <w:t>三种经典</w:t>
      </w:r>
      <w:r>
        <w:rPr>
          <w:color w:val="231F20"/>
        </w:rPr>
        <w:t>VaR</w:t>
      </w:r>
      <w:r>
        <w:rPr>
          <w:color w:val="231F20"/>
          <w:spacing w:val="9"/>
        </w:rPr>
        <w:t>分析方法的不同</w:t>
      </w:r>
    </w:p>
    <w:p w14:paraId="45DD79AB">
      <w:pPr>
        <w:pStyle w:val="2"/>
        <w:spacing w:before="36" w:line="222" w:lineRule="auto"/>
        <w:ind w:left="95"/>
      </w:pPr>
      <w:r>
        <w:rPr>
          <w:color w:val="231F20"/>
          <w:spacing w:val="10"/>
          <w:position w:val="1"/>
        </w:rPr>
        <w:t>•</w:t>
      </w:r>
      <w:r>
        <w:rPr>
          <w:color w:val="231F20"/>
          <w:spacing w:val="14"/>
          <w:position w:val="1"/>
        </w:rPr>
        <w:t xml:space="preserve">    </w:t>
      </w:r>
      <w:r>
        <w:rPr>
          <w:color w:val="231F20"/>
          <w:spacing w:val="10"/>
        </w:rPr>
        <w:t>同时使用</w:t>
      </w:r>
      <w:r>
        <w:rPr>
          <w:color w:val="231F20"/>
        </w:rPr>
        <w:t>VaR</w:t>
      </w:r>
      <w:r>
        <w:rPr>
          <w:color w:val="231F20"/>
          <w:spacing w:val="10"/>
        </w:rPr>
        <w:t>与预期损失（</w:t>
      </w:r>
      <w:r>
        <w:rPr>
          <w:color w:val="231F20"/>
          <w:spacing w:val="-15"/>
        </w:rPr>
        <w:t xml:space="preserve"> </w:t>
      </w:r>
      <w:r>
        <w:rPr>
          <w:color w:val="231F20"/>
        </w:rPr>
        <w:t>ES</w:t>
      </w:r>
      <w:r>
        <w:rPr>
          <w:color w:val="231F20"/>
          <w:spacing w:val="10"/>
        </w:rPr>
        <w:t>）</w:t>
      </w:r>
      <w:r>
        <w:rPr>
          <w:color w:val="231F20"/>
          <w:spacing w:val="-38"/>
        </w:rPr>
        <w:t xml:space="preserve"> </w:t>
      </w:r>
      <w:r>
        <w:rPr>
          <w:color w:val="231F20"/>
          <w:spacing w:val="10"/>
        </w:rPr>
        <w:t>评估市场风险</w:t>
      </w:r>
    </w:p>
    <w:p w14:paraId="0D8B5DE4">
      <w:pPr>
        <w:pStyle w:val="2"/>
        <w:spacing w:before="207" w:line="184" w:lineRule="auto"/>
        <w:ind w:left="65"/>
        <w:rPr>
          <w:sz w:val="24"/>
          <w:szCs w:val="24"/>
        </w:rPr>
      </w:pPr>
      <w:r>
        <w:rPr>
          <w:color w:val="231F20"/>
          <w:spacing w:val="-1"/>
          <w:sz w:val="24"/>
          <w:szCs w:val="24"/>
        </w:rPr>
        <w:t>第六章：银行交易策略中的风险</w:t>
      </w:r>
    </w:p>
    <w:p w14:paraId="53FED5AD">
      <w:pPr>
        <w:pStyle w:val="2"/>
        <w:spacing w:before="114" w:line="190" w:lineRule="auto"/>
        <w:ind w:left="95"/>
      </w:pPr>
      <w:r>
        <w:rPr>
          <w:color w:val="231F20"/>
          <w:spacing w:val="7"/>
        </w:rPr>
        <w:t>•    银行交易操作中的内部注意事项</w:t>
      </w:r>
    </w:p>
    <w:p w14:paraId="08028E00">
      <w:pPr>
        <w:pStyle w:val="2"/>
        <w:spacing w:before="70" w:line="190" w:lineRule="auto"/>
        <w:ind w:left="95"/>
      </w:pPr>
      <w:r>
        <w:rPr>
          <w:color w:val="231F20"/>
          <w:spacing w:val="3"/>
        </w:rPr>
        <w:t>•</w:t>
      </w:r>
      <w:r>
        <w:rPr>
          <w:color w:val="231F20"/>
          <w:spacing w:val="9"/>
        </w:rPr>
        <w:t xml:space="preserve">    </w:t>
      </w:r>
      <w:r>
        <w:rPr>
          <w:color w:val="231F20"/>
          <w:spacing w:val="3"/>
        </w:rPr>
        <w:t>标准交易策略</w:t>
      </w:r>
    </w:p>
    <w:p w14:paraId="48D9A46B">
      <w:pPr>
        <w:pStyle w:val="2"/>
        <w:spacing w:before="75" w:line="191" w:lineRule="auto"/>
        <w:ind w:left="95"/>
      </w:pPr>
      <w:r>
        <w:rPr>
          <w:color w:val="231F20"/>
          <w:spacing w:val="6"/>
        </w:rPr>
        <w:t>•    外部风险</w:t>
      </w:r>
      <w:r>
        <w:rPr>
          <w:color w:val="231F20"/>
          <w:spacing w:val="-25"/>
        </w:rPr>
        <w:t xml:space="preserve"> </w:t>
      </w:r>
      <w:r>
        <w:rPr>
          <w:color w:val="231F20"/>
          <w:spacing w:val="6"/>
        </w:rPr>
        <w:t>，包括市场流动性和市场行为</w:t>
      </w:r>
    </w:p>
    <w:p w14:paraId="65C4C9CA">
      <w:pPr>
        <w:pStyle w:val="2"/>
        <w:spacing w:before="78" w:line="190" w:lineRule="auto"/>
        <w:ind w:left="95"/>
      </w:pPr>
      <w:r>
        <w:rPr>
          <w:color w:val="231F20"/>
          <w:spacing w:val="6"/>
        </w:rPr>
        <w:t>•</w:t>
      </w:r>
      <w:r>
        <w:rPr>
          <w:color w:val="231F20"/>
          <w:spacing w:val="12"/>
        </w:rPr>
        <w:t xml:space="preserve">    </w:t>
      </w:r>
      <w:r>
        <w:rPr>
          <w:color w:val="231F20"/>
          <w:spacing w:val="6"/>
        </w:rPr>
        <w:t>如何在交易操作中管理市场风险</w:t>
      </w:r>
    </w:p>
    <w:p w14:paraId="18C9C97C">
      <w:pPr>
        <w:pStyle w:val="2"/>
        <w:spacing w:before="222" w:line="184" w:lineRule="auto"/>
        <w:ind w:left="65"/>
        <w:rPr>
          <w:sz w:val="24"/>
          <w:szCs w:val="24"/>
        </w:rPr>
      </w:pPr>
      <w:r>
        <w:rPr>
          <w:color w:val="231F20"/>
          <w:spacing w:val="-1"/>
          <w:sz w:val="24"/>
          <w:szCs w:val="24"/>
        </w:rPr>
        <w:t>第七章：市场风险的组织与报告</w:t>
      </w:r>
    </w:p>
    <w:p w14:paraId="79113E91">
      <w:pPr>
        <w:pStyle w:val="2"/>
        <w:spacing w:before="114" w:line="212" w:lineRule="auto"/>
        <w:ind w:left="406" w:hanging="311"/>
      </w:pPr>
      <w:r>
        <w:rPr>
          <w:color w:val="231F20"/>
          <w:spacing w:val="9"/>
        </w:rPr>
        <w:t>•    管理交易操作的内部组织</w:t>
      </w:r>
      <w:r>
        <w:rPr>
          <w:color w:val="231F20"/>
          <w:spacing w:val="-23"/>
        </w:rPr>
        <w:t xml:space="preserve"> </w:t>
      </w:r>
      <w:r>
        <w:rPr>
          <w:color w:val="231F20"/>
          <w:spacing w:val="9"/>
        </w:rPr>
        <w:t>，包括</w:t>
      </w:r>
      <w:r>
        <w:rPr>
          <w:color w:val="231F20"/>
          <w:spacing w:val="-18"/>
        </w:rPr>
        <w:t xml:space="preserve"> </w:t>
      </w:r>
      <w:r>
        <w:rPr>
          <w:color w:val="231F20"/>
          <w:spacing w:val="9"/>
        </w:rPr>
        <w:t>：市场风险治理</w:t>
      </w:r>
      <w:r>
        <w:rPr>
          <w:color w:val="231F20"/>
          <w:spacing w:val="-23"/>
        </w:rPr>
        <w:t xml:space="preserve"> </w:t>
      </w:r>
      <w:r>
        <w:rPr>
          <w:color w:val="231F20"/>
          <w:spacing w:val="9"/>
        </w:rPr>
        <w:t>，市场风险测量工具和市场风</w:t>
      </w:r>
      <w:r>
        <w:rPr>
          <w:color w:val="231F20"/>
          <w:spacing w:val="8"/>
        </w:rPr>
        <w:t>险监控</w:t>
      </w:r>
      <w:r>
        <w:rPr>
          <w:color w:val="231F20"/>
        </w:rPr>
        <w:t xml:space="preserve"> </w:t>
      </w:r>
      <w:r>
        <w:rPr>
          <w:color w:val="231F20"/>
          <w:spacing w:val="7"/>
        </w:rPr>
        <w:t>和控制</w:t>
      </w:r>
    </w:p>
    <w:p w14:paraId="34D78E3E">
      <w:pPr>
        <w:pStyle w:val="2"/>
        <w:spacing w:before="81" w:line="190" w:lineRule="auto"/>
        <w:ind w:left="95"/>
      </w:pPr>
      <w:r>
        <w:rPr>
          <w:color w:val="231F20"/>
          <w:spacing w:val="5"/>
        </w:rPr>
        <w:t>•</w:t>
      </w:r>
      <w:r>
        <w:rPr>
          <w:color w:val="231F20"/>
          <w:spacing w:val="14"/>
        </w:rPr>
        <w:t xml:space="preserve">    </w:t>
      </w:r>
      <w:r>
        <w:rPr>
          <w:color w:val="231F20"/>
          <w:spacing w:val="5"/>
        </w:rPr>
        <w:t>市场风险报告的用途和使用者</w:t>
      </w:r>
    </w:p>
    <w:p w14:paraId="5F13C3DF">
      <w:pPr>
        <w:spacing w:line="190" w:lineRule="auto"/>
        <w:sectPr>
          <w:footerReference r:id="rId15" w:type="default"/>
          <w:pgSz w:w="10660" w:h="15081"/>
          <w:pgMar w:top="1281" w:right="1219" w:bottom="325" w:left="1129" w:header="0" w:footer="0" w:gutter="0"/>
          <w:cols w:space="720" w:num="1"/>
        </w:sectPr>
      </w:pPr>
      <w:r>
        <w:rPr>
          <w:rFonts w:hint="eastAsia" w:ascii="微软雅黑" w:hAnsi="微软雅黑" w:eastAsia="微软雅黑" w:cs="微软雅黑"/>
          <w:sz w:val="71"/>
          <w:szCs w:val="71"/>
          <w:lang w:eastAsia="zh-CN"/>
        </w:rPr>
        <w:drawing>
          <wp:anchor distT="0" distB="0" distL="114300" distR="114300" simplePos="0" relativeHeight="251696128" behindDoc="0" locked="0" layoutInCell="1" allowOverlap="1">
            <wp:simplePos x="0" y="0"/>
            <wp:positionH relativeFrom="column">
              <wp:posOffset>-706120</wp:posOffset>
            </wp:positionH>
            <wp:positionV relativeFrom="paragraph">
              <wp:posOffset>147955</wp:posOffset>
            </wp:positionV>
            <wp:extent cx="6795770" cy="384810"/>
            <wp:effectExtent l="0" t="0" r="1270" b="11430"/>
            <wp:wrapNone/>
            <wp:docPr id="13" name="图片 13" descr="文字文稿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文字文稿1_01"/>
                    <pic:cNvPicPr>
                      <a:picLocks noChangeAspect="1"/>
                    </pic:cNvPicPr>
                  </pic:nvPicPr>
                  <pic:blipFill>
                    <a:blip r:embed="rId36">
                      <a:lum contrast="6000"/>
                    </a:blip>
                    <a:srcRect t="96008"/>
                    <a:stretch>
                      <a:fillRect/>
                    </a:stretch>
                  </pic:blipFill>
                  <pic:spPr>
                    <a:xfrm>
                      <a:off x="0" y="0"/>
                      <a:ext cx="6795770" cy="384810"/>
                    </a:xfrm>
                    <a:prstGeom prst="rect">
                      <a:avLst/>
                    </a:prstGeom>
                  </pic:spPr>
                </pic:pic>
              </a:graphicData>
            </a:graphic>
          </wp:anchor>
        </w:drawing>
      </w:r>
    </w:p>
    <w:p w14:paraId="7DAF00BE">
      <w:pPr>
        <w:spacing w:line="329" w:lineRule="auto"/>
        <w:rPr>
          <w:rFonts w:ascii="Arial"/>
          <w:sz w:val="21"/>
        </w:rPr>
      </w:pPr>
    </w:p>
    <w:p w14:paraId="19404C8C">
      <w:pPr>
        <w:spacing w:line="330" w:lineRule="auto"/>
        <w:rPr>
          <w:rFonts w:ascii="Arial"/>
          <w:sz w:val="21"/>
        </w:rPr>
      </w:pPr>
    </w:p>
    <w:p w14:paraId="04042B28">
      <w:pPr>
        <w:pStyle w:val="2"/>
        <w:spacing w:before="120" w:line="229" w:lineRule="auto"/>
        <w:rPr>
          <w:sz w:val="28"/>
          <w:szCs w:val="28"/>
        </w:rPr>
      </w:pPr>
      <w:r>
        <w:rPr>
          <w:b/>
          <w:bCs/>
          <w:color w:val="7F7F7F"/>
          <w:spacing w:val="12"/>
          <w:sz w:val="28"/>
          <w:szCs w:val="28"/>
        </w:rPr>
        <w:t>《操作风险管理》</w:t>
      </w:r>
    </w:p>
    <w:p w14:paraId="2C80A074">
      <w:pPr>
        <w:spacing w:line="348" w:lineRule="auto"/>
        <w:rPr>
          <w:rFonts w:ascii="Arial"/>
          <w:sz w:val="21"/>
        </w:rPr>
      </w:pPr>
    </w:p>
    <w:p w14:paraId="57A6C65F">
      <w:pPr>
        <w:pStyle w:val="2"/>
        <w:spacing w:before="103" w:line="184" w:lineRule="auto"/>
        <w:ind w:left="65"/>
        <w:rPr>
          <w:sz w:val="24"/>
          <w:szCs w:val="24"/>
        </w:rPr>
      </w:pPr>
      <w:r>
        <w:rPr>
          <w:color w:val="231F20"/>
          <w:spacing w:val="-1"/>
          <w:sz w:val="24"/>
          <w:szCs w:val="24"/>
        </w:rPr>
        <w:t>第一章：操作风险管理</w:t>
      </w:r>
    </w:p>
    <w:p w14:paraId="25E9DA1B">
      <w:pPr>
        <w:pStyle w:val="2"/>
        <w:spacing w:before="103" w:line="189" w:lineRule="auto"/>
        <w:ind w:left="95"/>
      </w:pPr>
      <w:r>
        <w:rPr>
          <w:color w:val="231F20"/>
          <w:spacing w:val="5"/>
        </w:rPr>
        <w:t>•</w:t>
      </w:r>
      <w:r>
        <w:rPr>
          <w:color w:val="231F20"/>
          <w:spacing w:val="10"/>
        </w:rPr>
        <w:t xml:space="preserve">    </w:t>
      </w:r>
      <w:r>
        <w:rPr>
          <w:rFonts w:hint="eastAsia"/>
          <w:color w:val="231F20"/>
          <w:spacing w:val="10"/>
          <w:lang w:eastAsia="zh-CN"/>
        </w:rPr>
        <w:t>金融机构</w:t>
      </w:r>
      <w:r>
        <w:rPr>
          <w:color w:val="231F20"/>
          <w:spacing w:val="5"/>
        </w:rPr>
        <w:t>的操作风险</w:t>
      </w:r>
    </w:p>
    <w:p w14:paraId="13482614">
      <w:pPr>
        <w:pStyle w:val="2"/>
        <w:spacing w:before="80" w:line="189" w:lineRule="auto"/>
        <w:ind w:left="95"/>
      </w:pPr>
      <w:r>
        <w:rPr>
          <w:color w:val="231F20"/>
          <w:spacing w:val="7"/>
        </w:rPr>
        <w:t>•    操作风险与其他类型风险之间的关系</w:t>
      </w:r>
    </w:p>
    <w:p w14:paraId="3AD9F6EC">
      <w:pPr>
        <w:pStyle w:val="2"/>
        <w:spacing w:before="75" w:line="191" w:lineRule="auto"/>
        <w:ind w:left="95"/>
      </w:pPr>
      <w:r>
        <w:rPr>
          <w:color w:val="231F20"/>
          <w:spacing w:val="8"/>
        </w:rPr>
        <w:t>•    操作风险框架如何帮助建立和维护了合理的风险管理流程</w:t>
      </w:r>
    </w:p>
    <w:p w14:paraId="7DEA890B">
      <w:pPr>
        <w:pStyle w:val="2"/>
        <w:spacing w:before="78" w:line="190" w:lineRule="auto"/>
        <w:ind w:left="95"/>
      </w:pPr>
      <w:r>
        <w:rPr>
          <w:color w:val="231F20"/>
          <w:spacing w:val="7"/>
        </w:rPr>
        <w:t>•    谁应当承担组织中的操作风险管理职能</w:t>
      </w:r>
    </w:p>
    <w:p w14:paraId="6DB7FEF6">
      <w:pPr>
        <w:pStyle w:val="2"/>
        <w:spacing w:before="79" w:line="183" w:lineRule="auto"/>
        <w:ind w:left="95"/>
      </w:pPr>
      <w:r>
        <w:rPr>
          <w:color w:val="231F20"/>
          <w:spacing w:val="7"/>
          <w:position w:val="1"/>
        </w:rPr>
        <w:t xml:space="preserve">•    </w:t>
      </w:r>
      <w:r>
        <w:rPr>
          <w:color w:val="231F20"/>
          <w:spacing w:val="7"/>
        </w:rPr>
        <w:t>披露、合规和内部审计与管理者之间的关系</w:t>
      </w:r>
    </w:p>
    <w:p w14:paraId="2BE66CCE">
      <w:pPr>
        <w:pStyle w:val="2"/>
        <w:spacing w:before="220" w:line="184" w:lineRule="auto"/>
        <w:ind w:left="65"/>
        <w:rPr>
          <w:sz w:val="24"/>
          <w:szCs w:val="24"/>
        </w:rPr>
      </w:pPr>
      <w:r>
        <w:rPr>
          <w:color w:val="231F20"/>
          <w:spacing w:val="-1"/>
          <w:sz w:val="24"/>
          <w:szCs w:val="24"/>
        </w:rPr>
        <w:t>第二章：操作风险：识别与评估</w:t>
      </w:r>
    </w:p>
    <w:p w14:paraId="7DFDFE9F">
      <w:pPr>
        <w:pStyle w:val="2"/>
        <w:spacing w:before="104" w:line="189" w:lineRule="auto"/>
        <w:ind w:left="95"/>
      </w:pPr>
      <w:r>
        <w:rPr>
          <w:color w:val="231F20"/>
          <w:spacing w:val="3"/>
        </w:rPr>
        <w:t>•</w:t>
      </w:r>
      <w:r>
        <w:rPr>
          <w:color w:val="231F20"/>
          <w:spacing w:val="10"/>
        </w:rPr>
        <w:t xml:space="preserve">    </w:t>
      </w:r>
      <w:r>
        <w:rPr>
          <w:color w:val="231F20"/>
          <w:spacing w:val="3"/>
        </w:rPr>
        <w:t>操作风险的分类</w:t>
      </w:r>
    </w:p>
    <w:p w14:paraId="62B505DC">
      <w:pPr>
        <w:pStyle w:val="2"/>
        <w:spacing w:before="36" w:line="229" w:lineRule="auto"/>
        <w:ind w:left="95"/>
      </w:pPr>
      <w:r>
        <w:rPr>
          <w:color w:val="231F20"/>
          <w:spacing w:val="11"/>
        </w:rPr>
        <w:t>•</w:t>
      </w:r>
      <w:r>
        <w:rPr>
          <w:color w:val="231F20"/>
          <w:spacing w:val="13"/>
        </w:rPr>
        <w:t xml:space="preserve">    </w:t>
      </w:r>
      <w:r>
        <w:rPr>
          <w:color w:val="231F20"/>
          <w:spacing w:val="11"/>
        </w:rPr>
        <w:t>风险与控制自我评估（</w:t>
      </w:r>
      <w:r>
        <w:rPr>
          <w:color w:val="231F20"/>
          <w:spacing w:val="-12"/>
        </w:rPr>
        <w:t xml:space="preserve"> </w:t>
      </w:r>
      <w:r>
        <w:rPr>
          <w:color w:val="231F20"/>
        </w:rPr>
        <w:t>RCSAs</w:t>
      </w:r>
      <w:r>
        <w:rPr>
          <w:color w:val="231F20"/>
          <w:spacing w:val="11"/>
        </w:rPr>
        <w:t>）</w:t>
      </w:r>
    </w:p>
    <w:p w14:paraId="6EFAC3F7">
      <w:pPr>
        <w:pStyle w:val="2"/>
        <w:spacing w:before="209" w:line="184" w:lineRule="auto"/>
        <w:ind w:left="65"/>
        <w:rPr>
          <w:sz w:val="24"/>
          <w:szCs w:val="24"/>
        </w:rPr>
      </w:pPr>
      <w:r>
        <w:rPr>
          <w:color w:val="231F20"/>
          <w:spacing w:val="-2"/>
          <w:sz w:val="24"/>
          <w:szCs w:val="24"/>
        </w:rPr>
        <w:t>第三章：操作风险：计量</w:t>
      </w:r>
    </w:p>
    <w:p w14:paraId="0FEE4E61">
      <w:pPr>
        <w:pStyle w:val="2"/>
        <w:spacing w:before="111" w:line="189" w:lineRule="auto"/>
        <w:ind w:left="95"/>
      </w:pPr>
      <w:r>
        <w:rPr>
          <w:color w:val="231F20"/>
          <w:spacing w:val="8"/>
        </w:rPr>
        <w:t>•    内部生成的损失数据</w:t>
      </w:r>
      <w:r>
        <w:rPr>
          <w:color w:val="231F20"/>
          <w:spacing w:val="-28"/>
        </w:rPr>
        <w:t xml:space="preserve"> </w:t>
      </w:r>
      <w:r>
        <w:rPr>
          <w:color w:val="231F20"/>
          <w:spacing w:val="8"/>
        </w:rPr>
        <w:t>，该类型数据几乎</w:t>
      </w:r>
      <w:r>
        <w:rPr>
          <w:color w:val="231F20"/>
          <w:spacing w:val="7"/>
        </w:rPr>
        <w:t>在任何情境下都比外部生成数据要好</w:t>
      </w:r>
    </w:p>
    <w:p w14:paraId="420A7298">
      <w:pPr>
        <w:pStyle w:val="2"/>
        <w:spacing w:before="83" w:line="212" w:lineRule="auto"/>
        <w:ind w:left="429" w:hanging="334"/>
      </w:pPr>
      <w:r>
        <w:rPr>
          <w:color w:val="231F20"/>
          <w:spacing w:val="10"/>
        </w:rPr>
        <w:t>•    外部生成的损失数据</w:t>
      </w:r>
      <w:r>
        <w:rPr>
          <w:color w:val="231F20"/>
          <w:spacing w:val="-24"/>
        </w:rPr>
        <w:t xml:space="preserve"> </w:t>
      </w:r>
      <w:r>
        <w:rPr>
          <w:color w:val="231F20"/>
          <w:spacing w:val="10"/>
        </w:rPr>
        <w:t>，该类型数据对于较小型组织</w:t>
      </w:r>
      <w:r>
        <w:rPr>
          <w:color w:val="231F20"/>
          <w:spacing w:val="-26"/>
        </w:rPr>
        <w:t xml:space="preserve"> </w:t>
      </w:r>
      <w:r>
        <w:rPr>
          <w:color w:val="231F20"/>
          <w:spacing w:val="10"/>
        </w:rPr>
        <w:t>，和对非典型操作风险事件有着有</w:t>
      </w:r>
      <w:r>
        <w:rPr>
          <w:color w:val="231F20"/>
        </w:rPr>
        <w:t xml:space="preserve"> </w:t>
      </w:r>
      <w:r>
        <w:rPr>
          <w:color w:val="231F20"/>
          <w:spacing w:val="6"/>
        </w:rPr>
        <w:t>限敞口的组织有效</w:t>
      </w:r>
    </w:p>
    <w:p w14:paraId="2082D12A">
      <w:pPr>
        <w:pStyle w:val="2"/>
        <w:spacing w:before="212" w:line="184" w:lineRule="auto"/>
        <w:ind w:left="65"/>
        <w:rPr>
          <w:sz w:val="24"/>
          <w:szCs w:val="24"/>
        </w:rPr>
      </w:pPr>
      <w:r>
        <w:rPr>
          <w:color w:val="231F20"/>
          <w:spacing w:val="-1"/>
          <w:sz w:val="24"/>
          <w:szCs w:val="24"/>
        </w:rPr>
        <w:t>第四章：操作风险：缓释与控制</w:t>
      </w:r>
    </w:p>
    <w:p w14:paraId="7DD1B6CD">
      <w:pPr>
        <w:pStyle w:val="2"/>
        <w:spacing w:before="112" w:line="190" w:lineRule="auto"/>
        <w:ind w:left="95"/>
      </w:pPr>
      <w:r>
        <w:rPr>
          <w:color w:val="231F20"/>
          <w:spacing w:val="8"/>
        </w:rPr>
        <w:t>•    传统“三道防线”法对风险管理责任的系统化作用</w:t>
      </w:r>
    </w:p>
    <w:p w14:paraId="451184E8">
      <w:pPr>
        <w:pStyle w:val="2"/>
        <w:spacing w:before="75" w:line="188" w:lineRule="auto"/>
        <w:ind w:left="95"/>
      </w:pPr>
      <w:r>
        <w:rPr>
          <w:color w:val="231F20"/>
          <w:spacing w:val="3"/>
        </w:rPr>
        <w:t>•</w:t>
      </w:r>
      <w:r>
        <w:rPr>
          <w:color w:val="231F20"/>
          <w:spacing w:val="9"/>
        </w:rPr>
        <w:t xml:space="preserve">    </w:t>
      </w:r>
      <w:r>
        <w:rPr>
          <w:color w:val="231F20"/>
          <w:spacing w:val="3"/>
        </w:rPr>
        <w:t>操作风险保险</w:t>
      </w:r>
    </w:p>
    <w:p w14:paraId="43E63401">
      <w:pPr>
        <w:pStyle w:val="2"/>
        <w:spacing w:before="66" w:line="190" w:lineRule="auto"/>
        <w:ind w:left="95"/>
      </w:pPr>
      <w:r>
        <w:rPr>
          <w:color w:val="231F20"/>
          <w:spacing w:val="4"/>
        </w:rPr>
        <w:t>•</w:t>
      </w:r>
      <w:r>
        <w:rPr>
          <w:color w:val="231F20"/>
          <w:spacing w:val="14"/>
        </w:rPr>
        <w:t xml:space="preserve">    </w:t>
      </w:r>
      <w:r>
        <w:rPr>
          <w:color w:val="231F20"/>
          <w:spacing w:val="4"/>
        </w:rPr>
        <w:t>普遍情景的风险控制要点</w:t>
      </w:r>
    </w:p>
    <w:p w14:paraId="71C32458">
      <w:pPr>
        <w:spacing w:line="431" w:lineRule="auto"/>
        <w:rPr>
          <w:rFonts w:ascii="Arial"/>
          <w:sz w:val="21"/>
        </w:rPr>
      </w:pPr>
    </w:p>
    <w:p w14:paraId="36B9A1F7">
      <w:pPr>
        <w:pStyle w:val="2"/>
        <w:spacing w:before="103" w:line="184" w:lineRule="auto"/>
        <w:ind w:left="65"/>
        <w:rPr>
          <w:sz w:val="24"/>
          <w:szCs w:val="24"/>
        </w:rPr>
      </w:pPr>
      <w:r>
        <w:rPr>
          <w:color w:val="231F20"/>
          <w:spacing w:val="-1"/>
          <w:sz w:val="24"/>
          <w:szCs w:val="24"/>
        </w:rPr>
        <w:t>第五章：操作风险：监控与报告</w:t>
      </w:r>
    </w:p>
    <w:p w14:paraId="4F5E546B">
      <w:pPr>
        <w:pStyle w:val="2"/>
        <w:spacing w:before="123" w:line="229" w:lineRule="auto"/>
        <w:ind w:left="95"/>
      </w:pPr>
      <w:r>
        <w:rPr>
          <w:color w:val="231F20"/>
          <w:spacing w:val="8"/>
        </w:rPr>
        <w:t>•    监控金融机构操作风险时如何运用</w:t>
      </w:r>
      <w:r>
        <w:rPr>
          <w:color w:val="231F20"/>
          <w:spacing w:val="7"/>
        </w:rPr>
        <w:t>关键风险指标（</w:t>
      </w:r>
      <w:r>
        <w:rPr>
          <w:color w:val="231F20"/>
          <w:spacing w:val="-17"/>
        </w:rPr>
        <w:t xml:space="preserve"> </w:t>
      </w:r>
      <w:r>
        <w:rPr>
          <w:color w:val="231F20"/>
        </w:rPr>
        <w:t>KRI</w:t>
      </w:r>
      <w:r>
        <w:rPr>
          <w:color w:val="231F20"/>
          <w:spacing w:val="7"/>
        </w:rPr>
        <w:t>）</w:t>
      </w:r>
    </w:p>
    <w:p w14:paraId="6BC88EA4">
      <w:pPr>
        <w:pStyle w:val="2"/>
        <w:spacing w:before="57" w:line="189" w:lineRule="auto"/>
        <w:ind w:left="95"/>
      </w:pPr>
      <w:r>
        <w:rPr>
          <w:color w:val="231F20"/>
          <w:spacing w:val="4"/>
        </w:rPr>
        <w:t>•</w:t>
      </w:r>
      <w:r>
        <w:rPr>
          <w:color w:val="231F20"/>
          <w:spacing w:val="11"/>
        </w:rPr>
        <w:t xml:space="preserve">    </w:t>
      </w:r>
      <w:r>
        <w:rPr>
          <w:color w:val="231F20"/>
          <w:spacing w:val="4"/>
        </w:rPr>
        <w:t>一般风险报告的要求</w:t>
      </w:r>
    </w:p>
    <w:p w14:paraId="4F778957">
      <w:pPr>
        <w:spacing w:line="189" w:lineRule="auto"/>
        <w:sectPr>
          <w:pgSz w:w="10660" w:h="15081"/>
          <w:pgMar w:top="1281" w:right="1219" w:bottom="325" w:left="1129" w:header="0" w:footer="0" w:gutter="0"/>
          <w:cols w:space="720" w:num="1"/>
        </w:sectPr>
      </w:pPr>
      <w:r>
        <w:rPr>
          <w:rFonts w:hint="eastAsia" w:ascii="微软雅黑" w:hAnsi="微软雅黑" w:eastAsia="微软雅黑" w:cs="微软雅黑"/>
          <w:sz w:val="71"/>
          <w:szCs w:val="71"/>
          <w:lang w:eastAsia="zh-CN"/>
        </w:rPr>
        <w:drawing>
          <wp:anchor distT="0" distB="0" distL="114300" distR="114300" simplePos="0" relativeHeight="251697152" behindDoc="0" locked="0" layoutInCell="1" allowOverlap="1">
            <wp:simplePos x="0" y="0"/>
            <wp:positionH relativeFrom="column">
              <wp:posOffset>-706120</wp:posOffset>
            </wp:positionH>
            <wp:positionV relativeFrom="paragraph">
              <wp:posOffset>2139950</wp:posOffset>
            </wp:positionV>
            <wp:extent cx="6795770" cy="384810"/>
            <wp:effectExtent l="0" t="0" r="1270" b="11430"/>
            <wp:wrapNone/>
            <wp:docPr id="15" name="图片 15" descr="文字文稿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文字文稿1_01"/>
                    <pic:cNvPicPr>
                      <a:picLocks noChangeAspect="1"/>
                    </pic:cNvPicPr>
                  </pic:nvPicPr>
                  <pic:blipFill>
                    <a:blip r:embed="rId36">
                      <a:lum contrast="6000"/>
                    </a:blip>
                    <a:srcRect t="96008"/>
                    <a:stretch>
                      <a:fillRect/>
                    </a:stretch>
                  </pic:blipFill>
                  <pic:spPr>
                    <a:xfrm>
                      <a:off x="0" y="0"/>
                      <a:ext cx="6795770" cy="384810"/>
                    </a:xfrm>
                    <a:prstGeom prst="rect">
                      <a:avLst/>
                    </a:prstGeom>
                  </pic:spPr>
                </pic:pic>
              </a:graphicData>
            </a:graphic>
          </wp:anchor>
        </w:drawing>
      </w:r>
    </w:p>
    <w:p w14:paraId="5E238337">
      <w:pPr>
        <w:spacing w:line="327" w:lineRule="auto"/>
        <w:rPr>
          <w:rFonts w:ascii="Arial"/>
          <w:sz w:val="21"/>
        </w:rPr>
      </w:pPr>
    </w:p>
    <w:p w14:paraId="562204D6">
      <w:pPr>
        <w:spacing w:line="327" w:lineRule="auto"/>
        <w:rPr>
          <w:rFonts w:ascii="Arial"/>
          <w:sz w:val="21"/>
        </w:rPr>
      </w:pPr>
    </w:p>
    <w:p w14:paraId="09AA5913">
      <w:pPr>
        <w:pStyle w:val="2"/>
        <w:spacing w:before="120" w:line="229" w:lineRule="auto"/>
        <w:rPr>
          <w:sz w:val="28"/>
          <w:szCs w:val="28"/>
        </w:rPr>
      </w:pPr>
      <w:r>
        <w:rPr>
          <w:b/>
          <w:bCs/>
          <w:color w:val="7F7F7F"/>
          <w:spacing w:val="12"/>
          <w:sz w:val="28"/>
          <w:szCs w:val="28"/>
        </w:rPr>
        <w:t>《资产负债管理》</w:t>
      </w:r>
    </w:p>
    <w:p w14:paraId="4A4345D2">
      <w:pPr>
        <w:pStyle w:val="2"/>
        <w:spacing w:before="226" w:line="221" w:lineRule="auto"/>
        <w:ind w:left="65"/>
        <w:rPr>
          <w:sz w:val="24"/>
          <w:szCs w:val="24"/>
        </w:rPr>
      </w:pPr>
      <w:r>
        <w:rPr>
          <w:color w:val="231F20"/>
          <w:spacing w:val="3"/>
          <w:sz w:val="24"/>
          <w:szCs w:val="24"/>
        </w:rPr>
        <w:t>第一章：资产负债管理委员会（</w:t>
      </w:r>
      <w:r>
        <w:rPr>
          <w:color w:val="231F20"/>
          <w:spacing w:val="-32"/>
          <w:sz w:val="24"/>
          <w:szCs w:val="24"/>
        </w:rPr>
        <w:t xml:space="preserve"> </w:t>
      </w:r>
      <w:r>
        <w:rPr>
          <w:color w:val="231F20"/>
          <w:sz w:val="24"/>
          <w:szCs w:val="24"/>
        </w:rPr>
        <w:t>ALCO</w:t>
      </w:r>
      <w:r>
        <w:rPr>
          <w:color w:val="231F20"/>
          <w:spacing w:val="3"/>
          <w:sz w:val="24"/>
          <w:szCs w:val="24"/>
        </w:rPr>
        <w:t>）和资金部门职能</w:t>
      </w:r>
    </w:p>
    <w:p w14:paraId="3DDB4728">
      <w:pPr>
        <w:pStyle w:val="2"/>
        <w:spacing w:before="96" w:line="190" w:lineRule="auto"/>
        <w:ind w:left="95"/>
      </w:pPr>
      <w:r>
        <w:rPr>
          <w:color w:val="231F20"/>
          <w:spacing w:val="8"/>
        </w:rPr>
        <w:t>•    资金部门在任何金融机构或企业实体中的核心作用</w:t>
      </w:r>
    </w:p>
    <w:p w14:paraId="01BC501B">
      <w:pPr>
        <w:pStyle w:val="2"/>
        <w:spacing w:before="66" w:line="190" w:lineRule="auto"/>
        <w:ind w:left="95"/>
      </w:pPr>
      <w:r>
        <w:rPr>
          <w:color w:val="231F20"/>
          <w:spacing w:val="4"/>
        </w:rPr>
        <w:t>•</w:t>
      </w:r>
      <w:r>
        <w:rPr>
          <w:color w:val="231F20"/>
          <w:spacing w:val="11"/>
        </w:rPr>
        <w:t xml:space="preserve">    </w:t>
      </w:r>
      <w:r>
        <w:rPr>
          <w:color w:val="231F20"/>
          <w:spacing w:val="4"/>
        </w:rPr>
        <w:t>资金风险的构成因素</w:t>
      </w:r>
    </w:p>
    <w:p w14:paraId="4DFBB33B">
      <w:pPr>
        <w:pStyle w:val="2"/>
        <w:spacing w:before="42" w:line="226" w:lineRule="auto"/>
        <w:ind w:left="409" w:hanging="314"/>
      </w:pPr>
      <w:r>
        <w:rPr>
          <w:color w:val="231F20"/>
          <w:spacing w:val="11"/>
        </w:rPr>
        <w:t>•    资产负债管理委员会（</w:t>
      </w:r>
      <w:r>
        <w:rPr>
          <w:color w:val="231F20"/>
          <w:spacing w:val="-31"/>
        </w:rPr>
        <w:t xml:space="preserve"> </w:t>
      </w:r>
      <w:r>
        <w:rPr>
          <w:color w:val="231F20"/>
        </w:rPr>
        <w:t>ALCO</w:t>
      </w:r>
      <w:r>
        <w:rPr>
          <w:color w:val="231F20"/>
          <w:spacing w:val="11"/>
        </w:rPr>
        <w:t>）</w:t>
      </w:r>
      <w:r>
        <w:rPr>
          <w:color w:val="231F20"/>
          <w:spacing w:val="-34"/>
        </w:rPr>
        <w:t xml:space="preserve"> </w:t>
      </w:r>
      <w:r>
        <w:rPr>
          <w:color w:val="231F20"/>
          <w:spacing w:val="11"/>
        </w:rPr>
        <w:t>的作用</w:t>
      </w:r>
      <w:r>
        <w:rPr>
          <w:color w:val="231F20"/>
          <w:spacing w:val="-21"/>
        </w:rPr>
        <w:t xml:space="preserve"> </w:t>
      </w:r>
      <w:r>
        <w:rPr>
          <w:color w:val="231F20"/>
          <w:spacing w:val="11"/>
        </w:rPr>
        <w:t>，</w:t>
      </w:r>
      <w:r>
        <w:rPr>
          <w:color w:val="231F20"/>
          <w:spacing w:val="10"/>
        </w:rPr>
        <w:t>及其是如何被资产负债管理（</w:t>
      </w:r>
      <w:r>
        <w:rPr>
          <w:color w:val="231F20"/>
          <w:spacing w:val="-33"/>
        </w:rPr>
        <w:t xml:space="preserve"> </w:t>
      </w:r>
      <w:r>
        <w:rPr>
          <w:color w:val="231F20"/>
        </w:rPr>
        <w:t>ALM</w:t>
      </w:r>
      <w:r>
        <w:rPr>
          <w:color w:val="231F20"/>
          <w:spacing w:val="10"/>
        </w:rPr>
        <w:t>）政策所</w:t>
      </w:r>
      <w:r>
        <w:rPr>
          <w:color w:val="231F20"/>
        </w:rPr>
        <w:t xml:space="preserve"> </w:t>
      </w:r>
      <w:r>
        <w:rPr>
          <w:color w:val="231F20"/>
          <w:spacing w:val="7"/>
        </w:rPr>
        <w:t>指导的</w:t>
      </w:r>
    </w:p>
    <w:p w14:paraId="39E4E047">
      <w:pPr>
        <w:pStyle w:val="2"/>
        <w:spacing w:before="36" w:line="229" w:lineRule="auto"/>
        <w:ind w:left="95"/>
      </w:pPr>
      <w:r>
        <w:rPr>
          <w:color w:val="231F20"/>
          <w:spacing w:val="7"/>
        </w:rPr>
        <w:t>•</w:t>
      </w:r>
      <w:r>
        <w:rPr>
          <w:color w:val="231F20"/>
          <w:spacing w:val="14"/>
        </w:rPr>
        <w:t xml:space="preserve">    </w:t>
      </w:r>
      <w:r>
        <w:rPr>
          <w:color w:val="231F20"/>
          <w:spacing w:val="7"/>
        </w:rPr>
        <w:t>典型资产负债管理（</w:t>
      </w:r>
      <w:r>
        <w:rPr>
          <w:color w:val="231F20"/>
        </w:rPr>
        <w:t>ALM</w:t>
      </w:r>
      <w:r>
        <w:rPr>
          <w:color w:val="231F20"/>
          <w:spacing w:val="7"/>
        </w:rPr>
        <w:t>）报告</w:t>
      </w:r>
    </w:p>
    <w:p w14:paraId="7262E57C">
      <w:pPr>
        <w:pStyle w:val="2"/>
        <w:spacing w:before="23" w:line="229" w:lineRule="auto"/>
        <w:ind w:left="95"/>
      </w:pPr>
      <w:r>
        <w:rPr>
          <w:color w:val="231F20"/>
          <w:spacing w:val="8"/>
        </w:rPr>
        <w:t>•    控制资产负债管理（</w:t>
      </w:r>
      <w:r>
        <w:rPr>
          <w:color w:val="231F20"/>
        </w:rPr>
        <w:t>ALM</w:t>
      </w:r>
      <w:r>
        <w:rPr>
          <w:color w:val="231F20"/>
          <w:spacing w:val="8"/>
        </w:rPr>
        <w:t>）风险的一般限制结构</w:t>
      </w:r>
    </w:p>
    <w:p w14:paraId="6932E4BA">
      <w:pPr>
        <w:pStyle w:val="2"/>
        <w:spacing w:before="185" w:line="184" w:lineRule="auto"/>
        <w:ind w:left="65"/>
        <w:rPr>
          <w:sz w:val="24"/>
          <w:szCs w:val="24"/>
        </w:rPr>
      </w:pPr>
      <w:r>
        <w:rPr>
          <w:color w:val="231F20"/>
          <w:spacing w:val="-2"/>
          <w:sz w:val="24"/>
          <w:szCs w:val="24"/>
        </w:rPr>
        <w:t>第二章：银行账户的利率风险</w:t>
      </w:r>
    </w:p>
    <w:p w14:paraId="4CB47F2C">
      <w:pPr>
        <w:pStyle w:val="2"/>
        <w:spacing w:before="74" w:line="227" w:lineRule="auto"/>
        <w:ind w:left="410" w:right="26" w:hanging="315"/>
      </w:pPr>
      <w:r>
        <w:rPr>
          <w:color w:val="231F20"/>
          <w:spacing w:val="13"/>
          <w:position w:val="1"/>
        </w:rPr>
        <w:t xml:space="preserve">•    </w:t>
      </w:r>
      <w:r>
        <w:rPr>
          <w:color w:val="231F20"/>
          <w:spacing w:val="13"/>
        </w:rPr>
        <w:t>利率风险在银行业利率风险指南</w:t>
      </w:r>
      <w:r>
        <w:rPr>
          <w:color w:val="231F20"/>
          <w:spacing w:val="12"/>
        </w:rPr>
        <w:t>（</w:t>
      </w:r>
      <w:r>
        <w:rPr>
          <w:color w:val="231F20"/>
        </w:rPr>
        <w:t>IRRBB</w:t>
      </w:r>
      <w:r>
        <w:rPr>
          <w:color w:val="231F20"/>
          <w:spacing w:val="12"/>
        </w:rPr>
        <w:t>）</w:t>
      </w:r>
      <w:r>
        <w:rPr>
          <w:color w:val="231F20"/>
          <w:spacing w:val="-23"/>
        </w:rPr>
        <w:t xml:space="preserve"> </w:t>
      </w:r>
      <w:r>
        <w:rPr>
          <w:color w:val="231F20"/>
          <w:spacing w:val="12"/>
        </w:rPr>
        <w:t>中的两个重要方面</w:t>
      </w:r>
      <w:r>
        <w:rPr>
          <w:color w:val="231F20"/>
          <w:spacing w:val="-21"/>
        </w:rPr>
        <w:t xml:space="preserve"> </w:t>
      </w:r>
      <w:r>
        <w:rPr>
          <w:color w:val="231F20"/>
          <w:spacing w:val="12"/>
        </w:rPr>
        <w:t>，</w:t>
      </w:r>
      <w:r>
        <w:rPr>
          <w:color w:val="231F20"/>
          <w:spacing w:val="-37"/>
        </w:rPr>
        <w:t xml:space="preserve"> </w:t>
      </w:r>
      <w:r>
        <w:rPr>
          <w:color w:val="231F20"/>
          <w:spacing w:val="12"/>
        </w:rPr>
        <w:t>净利息收入（</w:t>
      </w:r>
      <w:r>
        <w:rPr>
          <w:color w:val="231F20"/>
          <w:spacing w:val="-10"/>
        </w:rPr>
        <w:t xml:space="preserve"> </w:t>
      </w:r>
      <w:r>
        <w:rPr>
          <w:color w:val="231F20"/>
        </w:rPr>
        <w:t>NII</w:t>
      </w:r>
      <w:r>
        <w:rPr>
          <w:color w:val="231F20"/>
          <w:spacing w:val="12"/>
        </w:rPr>
        <w:t>）</w:t>
      </w:r>
      <w:r>
        <w:rPr>
          <w:color w:val="231F20"/>
        </w:rPr>
        <w:t xml:space="preserve"> </w:t>
      </w:r>
      <w:r>
        <w:rPr>
          <w:color w:val="231F20"/>
          <w:spacing w:val="12"/>
        </w:rPr>
        <w:t>与股权经济价值（</w:t>
      </w:r>
      <w:r>
        <w:rPr>
          <w:color w:val="231F20"/>
          <w:spacing w:val="-11"/>
        </w:rPr>
        <w:t xml:space="preserve"> </w:t>
      </w:r>
      <w:r>
        <w:rPr>
          <w:color w:val="231F20"/>
        </w:rPr>
        <w:t>EVE</w:t>
      </w:r>
      <w:r>
        <w:rPr>
          <w:color w:val="231F20"/>
          <w:spacing w:val="12"/>
        </w:rPr>
        <w:t>）</w:t>
      </w:r>
    </w:p>
    <w:p w14:paraId="0349196C">
      <w:pPr>
        <w:pStyle w:val="2"/>
        <w:spacing w:before="25" w:line="229" w:lineRule="auto"/>
        <w:ind w:left="95"/>
      </w:pPr>
      <w:r>
        <w:rPr>
          <w:color w:val="231F20"/>
          <w:spacing w:val="5"/>
        </w:rPr>
        <w:t>•    基本净利息收入（</w:t>
      </w:r>
      <w:r>
        <w:rPr>
          <w:color w:val="231F20"/>
          <w:spacing w:val="-12"/>
        </w:rPr>
        <w:t xml:space="preserve"> </w:t>
      </w:r>
      <w:r>
        <w:rPr>
          <w:color w:val="231F20"/>
        </w:rPr>
        <w:t>NII</w:t>
      </w:r>
      <w:r>
        <w:rPr>
          <w:color w:val="231F20"/>
          <w:spacing w:val="5"/>
        </w:rPr>
        <w:t>）风险模型及其批判</w:t>
      </w:r>
    </w:p>
    <w:p w14:paraId="5155BB54">
      <w:pPr>
        <w:pStyle w:val="2"/>
        <w:spacing w:before="26" w:line="222" w:lineRule="auto"/>
        <w:ind w:left="95"/>
      </w:pPr>
      <w:r>
        <w:rPr>
          <w:color w:val="231F20"/>
          <w:spacing w:val="9"/>
          <w:position w:val="1"/>
        </w:rPr>
        <w:t xml:space="preserve">•    </w:t>
      </w:r>
      <w:r>
        <w:rPr>
          <w:color w:val="231F20"/>
          <w:spacing w:val="9"/>
        </w:rPr>
        <w:t>股权经济价值（</w:t>
      </w:r>
      <w:r>
        <w:rPr>
          <w:color w:val="231F20"/>
          <w:spacing w:val="2"/>
        </w:rPr>
        <w:t xml:space="preserve"> </w:t>
      </w:r>
      <w:r>
        <w:rPr>
          <w:color w:val="231F20"/>
        </w:rPr>
        <w:t>EVE</w:t>
      </w:r>
      <w:r>
        <w:rPr>
          <w:color w:val="231F20"/>
          <w:spacing w:val="9"/>
        </w:rPr>
        <w:t>）及其对银行经济价值的影响</w:t>
      </w:r>
    </w:p>
    <w:p w14:paraId="46F675D5">
      <w:pPr>
        <w:pStyle w:val="2"/>
        <w:spacing w:before="20" w:line="229" w:lineRule="auto"/>
        <w:ind w:left="95"/>
      </w:pPr>
      <w:r>
        <w:rPr>
          <w:color w:val="231F20"/>
          <w:spacing w:val="11"/>
        </w:rPr>
        <w:t>•    2016银行业利率风险指南（</w:t>
      </w:r>
      <w:r>
        <w:rPr>
          <w:color w:val="231F20"/>
        </w:rPr>
        <w:t>IRRBB</w:t>
      </w:r>
      <w:r>
        <w:rPr>
          <w:color w:val="231F20"/>
          <w:spacing w:val="11"/>
        </w:rPr>
        <w:t>）</w:t>
      </w:r>
      <w:r>
        <w:rPr>
          <w:color w:val="231F20"/>
          <w:spacing w:val="-33"/>
        </w:rPr>
        <w:t xml:space="preserve"> </w:t>
      </w:r>
      <w:r>
        <w:rPr>
          <w:color w:val="231F20"/>
          <w:spacing w:val="10"/>
        </w:rPr>
        <w:t>的框架</w:t>
      </w:r>
    </w:p>
    <w:p w14:paraId="04711631">
      <w:pPr>
        <w:pStyle w:val="2"/>
        <w:spacing w:before="185" w:line="184" w:lineRule="auto"/>
        <w:ind w:left="65"/>
        <w:rPr>
          <w:sz w:val="24"/>
          <w:szCs w:val="24"/>
        </w:rPr>
      </w:pPr>
      <w:r>
        <w:rPr>
          <w:color w:val="231F20"/>
          <w:spacing w:val="-1"/>
          <w:sz w:val="24"/>
          <w:szCs w:val="24"/>
        </w:rPr>
        <w:t>第三章：银行账户的流动性风险</w:t>
      </w:r>
    </w:p>
    <w:p w14:paraId="65170269">
      <w:pPr>
        <w:pStyle w:val="2"/>
        <w:spacing w:before="104" w:line="191" w:lineRule="auto"/>
        <w:ind w:left="95"/>
      </w:pPr>
      <w:r>
        <w:rPr>
          <w:color w:val="231F20"/>
          <w:spacing w:val="5"/>
        </w:rPr>
        <w:t>•</w:t>
      </w:r>
      <w:r>
        <w:rPr>
          <w:color w:val="231F20"/>
          <w:spacing w:val="10"/>
        </w:rPr>
        <w:t xml:space="preserve">    </w:t>
      </w:r>
      <w:r>
        <w:rPr>
          <w:color w:val="231F20"/>
          <w:spacing w:val="5"/>
        </w:rPr>
        <w:t>银行账户的流动性风险</w:t>
      </w:r>
    </w:p>
    <w:p w14:paraId="7D8C49E4">
      <w:pPr>
        <w:pStyle w:val="2"/>
        <w:spacing w:before="77" w:line="191" w:lineRule="auto"/>
        <w:ind w:left="95"/>
      </w:pPr>
      <w:r>
        <w:rPr>
          <w:color w:val="231F20"/>
          <w:spacing w:val="7"/>
        </w:rPr>
        <w:t>•    量化流动性风险和管理其风险敞口的方式</w:t>
      </w:r>
    </w:p>
    <w:p w14:paraId="33426A67">
      <w:pPr>
        <w:pStyle w:val="2"/>
        <w:spacing w:before="34" w:line="229" w:lineRule="auto"/>
        <w:ind w:left="95"/>
      </w:pPr>
      <w:r>
        <w:rPr>
          <w:color w:val="231F20"/>
          <w:spacing w:val="9"/>
        </w:rPr>
        <w:t>•    作为核心流动性管理工具的资金转移定价（</w:t>
      </w:r>
      <w:r>
        <w:rPr>
          <w:color w:val="231F20"/>
          <w:spacing w:val="-11"/>
        </w:rPr>
        <w:t xml:space="preserve"> </w:t>
      </w:r>
      <w:r>
        <w:rPr>
          <w:color w:val="231F20"/>
        </w:rPr>
        <w:t>FTP</w:t>
      </w:r>
      <w:r>
        <w:rPr>
          <w:color w:val="231F20"/>
          <w:spacing w:val="9"/>
        </w:rPr>
        <w:t>）</w:t>
      </w:r>
    </w:p>
    <w:p w14:paraId="3DCC54B3">
      <w:pPr>
        <w:pStyle w:val="2"/>
        <w:spacing w:before="28" w:line="233" w:lineRule="auto"/>
        <w:ind w:left="95"/>
      </w:pPr>
      <w:r>
        <w:rPr>
          <w:color w:val="231F20"/>
          <w:spacing w:val="8"/>
        </w:rPr>
        <w:t>•    银行需采用和报告的两种巴塞尔协议</w:t>
      </w:r>
      <w:r>
        <w:rPr>
          <w:rFonts w:hint="eastAsia"/>
          <w:color w:val="231F20"/>
          <w:spacing w:val="8"/>
          <w:lang w:eastAsia="zh-CN"/>
        </w:rPr>
        <w:t>Ⅲ</w:t>
      </w:r>
      <w:r>
        <w:rPr>
          <w:color w:val="231F20"/>
          <w:spacing w:val="8"/>
        </w:rPr>
        <w:t>的流动性计量方法</w:t>
      </w:r>
    </w:p>
    <w:p w14:paraId="1873BFB9">
      <w:pPr>
        <w:pStyle w:val="2"/>
        <w:spacing w:before="174" w:line="184" w:lineRule="auto"/>
        <w:ind w:left="65"/>
        <w:rPr>
          <w:sz w:val="24"/>
          <w:szCs w:val="24"/>
        </w:rPr>
      </w:pPr>
      <w:r>
        <w:rPr>
          <w:color w:val="231F20"/>
          <w:spacing w:val="-1"/>
          <w:sz w:val="24"/>
          <w:szCs w:val="24"/>
        </w:rPr>
        <w:t>第四章：银行资本管理</w:t>
      </w:r>
    </w:p>
    <w:p w14:paraId="64501858">
      <w:pPr>
        <w:pStyle w:val="2"/>
        <w:spacing w:before="114" w:line="183" w:lineRule="auto"/>
        <w:ind w:left="95"/>
      </w:pPr>
      <w:r>
        <w:rPr>
          <w:color w:val="231F20"/>
          <w:spacing w:val="7"/>
          <w:position w:val="1"/>
        </w:rPr>
        <w:t xml:space="preserve">•    </w:t>
      </w:r>
      <w:r>
        <w:rPr>
          <w:color w:val="231F20"/>
          <w:spacing w:val="7"/>
        </w:rPr>
        <w:t>经济资本和监管资本的区分</w:t>
      </w:r>
      <w:r>
        <w:rPr>
          <w:color w:val="231F20"/>
          <w:spacing w:val="-21"/>
        </w:rPr>
        <w:t xml:space="preserve"> </w:t>
      </w:r>
      <w:r>
        <w:rPr>
          <w:color w:val="231F20"/>
          <w:spacing w:val="7"/>
        </w:rPr>
        <w:t>，以及经济资本的更深层次内容</w:t>
      </w:r>
    </w:p>
    <w:p w14:paraId="58402D2C">
      <w:pPr>
        <w:pStyle w:val="2"/>
        <w:spacing w:before="77" w:line="190" w:lineRule="auto"/>
        <w:ind w:left="95"/>
      </w:pPr>
      <w:r>
        <w:rPr>
          <w:color w:val="231F20"/>
          <w:spacing w:val="6"/>
        </w:rPr>
        <w:t>•     巴塞尔协议Ⅱ和巴塞尔协议Ⅲ的监管资本</w:t>
      </w:r>
      <w:r>
        <w:rPr>
          <w:color w:val="231F20"/>
          <w:spacing w:val="-25"/>
        </w:rPr>
        <w:t xml:space="preserve"> </w:t>
      </w:r>
      <w:r>
        <w:rPr>
          <w:color w:val="231F20"/>
          <w:spacing w:val="6"/>
        </w:rPr>
        <w:t>，包括“金融保释”资本</w:t>
      </w:r>
    </w:p>
    <w:p w14:paraId="281C6ADD">
      <w:pPr>
        <w:pStyle w:val="2"/>
        <w:spacing w:before="36" w:line="229" w:lineRule="auto"/>
        <w:ind w:left="95"/>
      </w:pPr>
      <w:r>
        <w:rPr>
          <w:color w:val="231F20"/>
          <w:spacing w:val="11"/>
        </w:rPr>
        <w:t>•    净资产收益率（</w:t>
      </w:r>
      <w:r>
        <w:rPr>
          <w:color w:val="231F20"/>
          <w:spacing w:val="-9"/>
        </w:rPr>
        <w:t xml:space="preserve"> </w:t>
      </w:r>
      <w:r>
        <w:rPr>
          <w:color w:val="231F20"/>
        </w:rPr>
        <w:t>ROE</w:t>
      </w:r>
      <w:r>
        <w:rPr>
          <w:color w:val="231F20"/>
          <w:spacing w:val="11"/>
        </w:rPr>
        <w:t>）</w:t>
      </w:r>
      <w:r>
        <w:rPr>
          <w:color w:val="231F20"/>
          <w:spacing w:val="-38"/>
        </w:rPr>
        <w:t xml:space="preserve"> </w:t>
      </w:r>
      <w:r>
        <w:rPr>
          <w:color w:val="231F20"/>
          <w:spacing w:val="11"/>
        </w:rPr>
        <w:t>和风险调整资本回报率（</w:t>
      </w:r>
      <w:r>
        <w:rPr>
          <w:color w:val="231F20"/>
          <w:spacing w:val="-13"/>
        </w:rPr>
        <w:t xml:space="preserve"> </w:t>
      </w:r>
      <w:r>
        <w:rPr>
          <w:color w:val="231F20"/>
        </w:rPr>
        <w:t>RAROC</w:t>
      </w:r>
      <w:r>
        <w:rPr>
          <w:color w:val="231F20"/>
          <w:spacing w:val="11"/>
        </w:rPr>
        <w:t>）之间的差异</w:t>
      </w:r>
    </w:p>
    <w:p w14:paraId="364C5E88">
      <w:pPr>
        <w:pStyle w:val="2"/>
        <w:spacing w:before="185" w:line="184" w:lineRule="auto"/>
        <w:ind w:left="65"/>
        <w:rPr>
          <w:sz w:val="24"/>
          <w:szCs w:val="24"/>
        </w:rPr>
      </w:pPr>
      <w:r>
        <w:rPr>
          <w:color w:val="231F20"/>
          <w:spacing w:val="-1"/>
          <w:sz w:val="24"/>
          <w:szCs w:val="24"/>
        </w:rPr>
        <w:t>第五章：银行</w:t>
      </w:r>
      <w:r>
        <w:rPr>
          <w:rFonts w:hint="eastAsia"/>
          <w:color w:val="231F20"/>
          <w:spacing w:val="-1"/>
          <w:sz w:val="24"/>
          <w:szCs w:val="24"/>
          <w:lang w:eastAsia="zh-CN"/>
        </w:rPr>
        <w:t>账户</w:t>
      </w:r>
      <w:r>
        <w:rPr>
          <w:color w:val="231F20"/>
          <w:spacing w:val="-1"/>
          <w:sz w:val="24"/>
          <w:szCs w:val="24"/>
        </w:rPr>
        <w:t>中其他非交易性市场风险</w:t>
      </w:r>
    </w:p>
    <w:p w14:paraId="7112E3F7">
      <w:pPr>
        <w:pStyle w:val="2"/>
        <w:spacing w:before="112" w:line="190" w:lineRule="auto"/>
        <w:ind w:left="95"/>
      </w:pPr>
      <w:r>
        <w:rPr>
          <w:color w:val="231F20"/>
          <w:spacing w:val="7"/>
        </w:rPr>
        <w:t>•    适用于非交易信用风险头寸的信用利差风险</w:t>
      </w:r>
    </w:p>
    <w:p w14:paraId="6EBC7291">
      <w:pPr>
        <w:pStyle w:val="2"/>
        <w:spacing w:before="80" w:line="189" w:lineRule="auto"/>
        <w:ind w:left="95"/>
      </w:pPr>
      <w:r>
        <w:rPr>
          <w:color w:val="231F20"/>
          <w:spacing w:val="7"/>
        </w:rPr>
        <w:t>•    外国子公司股票价值的外汇风险</w:t>
      </w:r>
    </w:p>
    <w:p w14:paraId="47DC2CA8">
      <w:pPr>
        <w:pStyle w:val="2"/>
        <w:spacing w:before="79" w:line="190" w:lineRule="auto"/>
        <w:ind w:left="95"/>
      </w:pPr>
      <w:r>
        <w:rPr>
          <w:color w:val="231F20"/>
          <w:spacing w:val="6"/>
        </w:rPr>
        <w:t>•</w:t>
      </w:r>
      <w:r>
        <w:rPr>
          <w:color w:val="231F20"/>
          <w:spacing w:val="13"/>
        </w:rPr>
        <w:t xml:space="preserve">    </w:t>
      </w:r>
      <w:r>
        <w:rPr>
          <w:color w:val="231F20"/>
          <w:spacing w:val="6"/>
        </w:rPr>
        <w:t>战略及替代长期股权投资的投资风险</w:t>
      </w:r>
    </w:p>
    <w:p w14:paraId="42B1E329">
      <w:pPr>
        <w:pStyle w:val="2"/>
        <w:spacing w:before="80" w:line="189" w:lineRule="auto"/>
        <w:ind w:left="95"/>
      </w:pPr>
      <w:r>
        <w:rPr>
          <w:color w:val="231F20"/>
          <w:spacing w:val="8"/>
        </w:rPr>
        <w:t>•    适用于固定收益员工养老金计划的</w:t>
      </w:r>
      <w:r>
        <w:rPr>
          <w:color w:val="231F20"/>
          <w:spacing w:val="7"/>
        </w:rPr>
        <w:t>养老金风险</w:t>
      </w:r>
    </w:p>
    <w:p w14:paraId="7801A7A2">
      <w:pPr>
        <w:pStyle w:val="2"/>
        <w:spacing w:before="79" w:line="190" w:lineRule="auto"/>
        <w:ind w:left="95"/>
      </w:pPr>
      <w:r>
        <w:rPr>
          <w:color w:val="231F20"/>
          <w:spacing w:val="7"/>
        </w:rPr>
        <w:t>•    保证客户投资组合中的产品价值风险</w:t>
      </w:r>
    </w:p>
    <w:p w14:paraId="63528F9D">
      <w:pPr>
        <w:pStyle w:val="2"/>
        <w:spacing w:before="78" w:line="183" w:lineRule="auto"/>
        <w:ind w:left="95"/>
      </w:pPr>
      <w:r>
        <w:rPr>
          <w:color w:val="231F20"/>
          <w:spacing w:val="7"/>
          <w:position w:val="1"/>
        </w:rPr>
        <w:t xml:space="preserve">•    </w:t>
      </w:r>
      <w:r>
        <w:rPr>
          <w:color w:val="231F20"/>
          <w:spacing w:val="7"/>
        </w:rPr>
        <w:t>非贸易市场风险头寸的经济资本消耗</w:t>
      </w:r>
    </w:p>
    <w:p w14:paraId="7CC7260E">
      <w:pPr>
        <w:spacing w:line="183" w:lineRule="auto"/>
        <w:sectPr>
          <w:footerReference r:id="rId16" w:type="default"/>
          <w:pgSz w:w="10660" w:h="15081"/>
          <w:pgMar w:top="1281" w:right="1222" w:bottom="325" w:left="1129" w:header="0" w:footer="0" w:gutter="0"/>
          <w:cols w:space="720" w:num="1"/>
        </w:sectPr>
      </w:pPr>
      <w:r>
        <w:rPr>
          <w:rFonts w:hint="eastAsia" w:ascii="微软雅黑" w:hAnsi="微软雅黑" w:eastAsia="微软雅黑" w:cs="微软雅黑"/>
          <w:sz w:val="71"/>
          <w:szCs w:val="71"/>
          <w:lang w:eastAsia="zh-CN"/>
        </w:rPr>
        <w:drawing>
          <wp:anchor distT="0" distB="0" distL="114300" distR="114300" simplePos="0" relativeHeight="251698176" behindDoc="0" locked="0" layoutInCell="1" allowOverlap="1">
            <wp:simplePos x="0" y="0"/>
            <wp:positionH relativeFrom="column">
              <wp:posOffset>-706120</wp:posOffset>
            </wp:positionH>
            <wp:positionV relativeFrom="paragraph">
              <wp:posOffset>529590</wp:posOffset>
            </wp:positionV>
            <wp:extent cx="6795770" cy="384810"/>
            <wp:effectExtent l="0" t="0" r="1270" b="11430"/>
            <wp:wrapNone/>
            <wp:docPr id="17" name="图片 17" descr="文字文稿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文字文稿1_01"/>
                    <pic:cNvPicPr>
                      <a:picLocks noChangeAspect="1"/>
                    </pic:cNvPicPr>
                  </pic:nvPicPr>
                  <pic:blipFill>
                    <a:blip r:embed="rId36">
                      <a:lum contrast="6000"/>
                    </a:blip>
                    <a:srcRect t="96008"/>
                    <a:stretch>
                      <a:fillRect/>
                    </a:stretch>
                  </pic:blipFill>
                  <pic:spPr>
                    <a:xfrm>
                      <a:off x="0" y="0"/>
                      <a:ext cx="6795770" cy="384810"/>
                    </a:xfrm>
                    <a:prstGeom prst="rect">
                      <a:avLst/>
                    </a:prstGeom>
                  </pic:spPr>
                </pic:pic>
              </a:graphicData>
            </a:graphic>
          </wp:anchor>
        </w:drawing>
      </w:r>
    </w:p>
    <w:p w14:paraId="6BE51DD8">
      <w:pPr>
        <w:pStyle w:val="2"/>
        <w:spacing w:before="142" w:line="194" w:lineRule="auto"/>
        <w:rPr>
          <w:sz w:val="49"/>
          <w:szCs w:val="49"/>
        </w:rPr>
      </w:pPr>
      <w:r>
        <w:rPr>
          <w:b/>
          <w:bCs/>
          <w:color w:val="7F7F7F"/>
          <w:spacing w:val="32"/>
          <w:sz w:val="49"/>
          <w:szCs w:val="49"/>
        </w:rPr>
        <w:t>金融风险与监管</w:t>
      </w:r>
      <w:r>
        <w:rPr>
          <w:b/>
          <w:bCs/>
          <w:color w:val="7F7F7F"/>
          <w:sz w:val="49"/>
          <w:szCs w:val="49"/>
        </w:rPr>
        <w:t>FRR</w:t>
      </w:r>
      <w:r>
        <w:rPr>
          <w:b/>
          <w:bCs/>
          <w:color w:val="7F7F7F"/>
          <w:position w:val="22"/>
          <w:sz w:val="28"/>
          <w:szCs w:val="28"/>
        </w:rPr>
        <w:t>TM</w:t>
      </w:r>
      <w:r>
        <w:rPr>
          <w:b/>
          <w:bCs/>
          <w:color w:val="7F7F7F"/>
          <w:spacing w:val="32"/>
          <w:sz w:val="49"/>
          <w:szCs w:val="49"/>
        </w:rPr>
        <w:t>证书考试纲要</w:t>
      </w:r>
    </w:p>
    <w:p w14:paraId="09958484">
      <w:pPr>
        <w:spacing w:line="278" w:lineRule="auto"/>
        <w:rPr>
          <w:rFonts w:ascii="Arial"/>
          <w:sz w:val="21"/>
        </w:rPr>
      </w:pPr>
    </w:p>
    <w:p w14:paraId="4A00870C">
      <w:pPr>
        <w:pStyle w:val="2"/>
        <w:spacing w:before="120" w:line="183" w:lineRule="auto"/>
        <w:ind w:left="598"/>
        <w:rPr>
          <w:sz w:val="28"/>
          <w:szCs w:val="28"/>
        </w:rPr>
      </w:pPr>
      <w:r>
        <w:rPr>
          <w:color w:val="F05124"/>
          <w:spacing w:val="-4"/>
          <w:sz w:val="28"/>
          <w:szCs w:val="28"/>
        </w:rPr>
        <w:t>本丛书考试内容占比如下：</w:t>
      </w:r>
    </w:p>
    <w:p w14:paraId="0E680EE7">
      <w:pPr>
        <w:pStyle w:val="2"/>
        <w:spacing w:before="390" w:line="185" w:lineRule="auto"/>
        <w:ind w:left="602"/>
        <w:rPr>
          <w:sz w:val="49"/>
          <w:szCs w:val="49"/>
        </w:rPr>
      </w:pPr>
      <w:r>
        <w:rPr>
          <w:color w:val="7F7F7F"/>
          <w:spacing w:val="6"/>
          <w:sz w:val="49"/>
          <w:szCs w:val="49"/>
        </w:rPr>
        <w:t>信用风险管理</w:t>
      </w:r>
    </w:p>
    <w:p w14:paraId="4866AEC1">
      <w:pPr>
        <w:pStyle w:val="2"/>
        <w:spacing w:before="116" w:line="210" w:lineRule="auto"/>
        <w:ind w:left="594"/>
        <w:rPr>
          <w:sz w:val="28"/>
          <w:szCs w:val="28"/>
        </w:rPr>
      </w:pPr>
      <w:r>
        <w:rPr>
          <w:color w:val="231F20"/>
          <w:spacing w:val="-2"/>
          <w:sz w:val="28"/>
          <w:szCs w:val="28"/>
        </w:rPr>
        <w:t>考试内容占比</w:t>
      </w:r>
      <w:r>
        <w:rPr>
          <w:color w:val="231F20"/>
          <w:spacing w:val="33"/>
          <w:sz w:val="28"/>
          <w:szCs w:val="28"/>
        </w:rPr>
        <w:t xml:space="preserve"> </w:t>
      </w:r>
      <w:r>
        <w:rPr>
          <w:color w:val="231F20"/>
          <w:spacing w:val="-2"/>
          <w:sz w:val="28"/>
          <w:szCs w:val="28"/>
        </w:rPr>
        <w:t>|</w:t>
      </w:r>
      <w:r>
        <w:rPr>
          <w:color w:val="231F20"/>
          <w:spacing w:val="26"/>
          <w:sz w:val="28"/>
          <w:szCs w:val="28"/>
        </w:rPr>
        <w:t xml:space="preserve"> </w:t>
      </w:r>
      <w:r>
        <w:rPr>
          <w:color w:val="F05124"/>
          <w:spacing w:val="-2"/>
          <w:sz w:val="28"/>
          <w:szCs w:val="28"/>
        </w:rPr>
        <w:t>27%</w:t>
      </w:r>
    </w:p>
    <w:p w14:paraId="60E85BC9">
      <w:pPr>
        <w:pStyle w:val="2"/>
        <w:spacing w:before="311" w:line="184" w:lineRule="auto"/>
        <w:ind w:left="600"/>
        <w:rPr>
          <w:sz w:val="22"/>
          <w:szCs w:val="22"/>
        </w:rPr>
      </w:pPr>
      <w:r>
        <w:rPr>
          <w:color w:val="231F20"/>
          <w:spacing w:val="-2"/>
          <w:sz w:val="22"/>
          <w:szCs w:val="22"/>
        </w:rPr>
        <w:t>您应在这一部分中重点阅读与学习的内容</w:t>
      </w:r>
      <w:r>
        <w:rPr>
          <w:color w:val="231F20"/>
          <w:spacing w:val="-14"/>
          <w:sz w:val="22"/>
          <w:szCs w:val="22"/>
        </w:rPr>
        <w:t xml:space="preserve"> </w:t>
      </w:r>
      <w:r>
        <w:rPr>
          <w:color w:val="231F20"/>
          <w:spacing w:val="-2"/>
          <w:sz w:val="22"/>
          <w:szCs w:val="22"/>
        </w:rPr>
        <w:t>，以及应达到的具体学习目标：</w:t>
      </w:r>
    </w:p>
    <w:p w14:paraId="7BE16BE3">
      <w:pPr>
        <w:pStyle w:val="2"/>
        <w:spacing w:before="334" w:line="184" w:lineRule="auto"/>
        <w:ind w:left="592"/>
        <w:rPr>
          <w:sz w:val="24"/>
          <w:szCs w:val="24"/>
        </w:rPr>
      </w:pPr>
      <w:r>
        <w:rPr>
          <w:color w:val="231F20"/>
          <w:spacing w:val="-2"/>
          <w:sz w:val="24"/>
          <w:szCs w:val="24"/>
        </w:rPr>
        <w:t>第一章</w:t>
      </w:r>
      <w:r>
        <w:rPr>
          <w:color w:val="231F20"/>
          <w:spacing w:val="14"/>
          <w:sz w:val="24"/>
          <w:szCs w:val="24"/>
        </w:rPr>
        <w:t xml:space="preserve">   </w:t>
      </w:r>
      <w:r>
        <w:rPr>
          <w:color w:val="231F20"/>
          <w:spacing w:val="-2"/>
          <w:sz w:val="24"/>
          <w:szCs w:val="24"/>
        </w:rPr>
        <w:t>信用风险评估</w:t>
      </w:r>
    </w:p>
    <w:p w14:paraId="5A0A58E0">
      <w:pPr>
        <w:pStyle w:val="2"/>
        <w:spacing w:before="86" w:line="185" w:lineRule="auto"/>
        <w:ind w:left="595"/>
        <w:rPr>
          <w:sz w:val="22"/>
          <w:szCs w:val="22"/>
        </w:rPr>
      </w:pPr>
      <w:r>
        <w:rPr>
          <w:color w:val="231F20"/>
          <w:spacing w:val="-5"/>
          <w:sz w:val="22"/>
          <w:szCs w:val="22"/>
        </w:rPr>
        <w:t>完成本章阅读与学习后</w:t>
      </w:r>
      <w:r>
        <w:rPr>
          <w:color w:val="231F20"/>
          <w:spacing w:val="-25"/>
          <w:sz w:val="22"/>
          <w:szCs w:val="22"/>
        </w:rPr>
        <w:t xml:space="preserve"> </w:t>
      </w:r>
      <w:r>
        <w:rPr>
          <w:color w:val="231F20"/>
          <w:spacing w:val="-5"/>
          <w:sz w:val="22"/>
          <w:szCs w:val="22"/>
        </w:rPr>
        <w:t>，您应具备以下能力：</w:t>
      </w:r>
    </w:p>
    <w:p w14:paraId="6A172683">
      <w:pPr>
        <w:pStyle w:val="2"/>
        <w:spacing w:before="32" w:line="184" w:lineRule="auto"/>
        <w:ind w:left="626"/>
        <w:rPr>
          <w:sz w:val="22"/>
          <w:szCs w:val="22"/>
        </w:rPr>
      </w:pPr>
      <w:r>
        <w:rPr>
          <w:color w:val="231F20"/>
          <w:spacing w:val="-5"/>
          <w:sz w:val="22"/>
          <w:szCs w:val="22"/>
        </w:rPr>
        <w:t>•     区分信用风险与市场风险</w:t>
      </w:r>
    </w:p>
    <w:p w14:paraId="1E210EAB">
      <w:pPr>
        <w:pStyle w:val="2"/>
        <w:spacing w:before="43" w:line="177" w:lineRule="auto"/>
        <w:ind w:left="626"/>
        <w:rPr>
          <w:sz w:val="22"/>
          <w:szCs w:val="22"/>
        </w:rPr>
      </w:pPr>
      <w:r>
        <w:rPr>
          <w:color w:val="231F20"/>
          <w:spacing w:val="-5"/>
          <w:position w:val="1"/>
          <w:sz w:val="22"/>
          <w:szCs w:val="22"/>
        </w:rPr>
        <w:t>•</w:t>
      </w:r>
      <w:r>
        <w:rPr>
          <w:color w:val="231F20"/>
          <w:spacing w:val="6"/>
          <w:position w:val="1"/>
          <w:sz w:val="22"/>
          <w:szCs w:val="22"/>
        </w:rPr>
        <w:t xml:space="preserve">    </w:t>
      </w:r>
      <w:r>
        <w:rPr>
          <w:color w:val="231F20"/>
          <w:spacing w:val="-5"/>
          <w:sz w:val="22"/>
          <w:szCs w:val="22"/>
        </w:rPr>
        <w:t>估计预期信用损失</w:t>
      </w:r>
    </w:p>
    <w:p w14:paraId="6E053186">
      <w:pPr>
        <w:pStyle w:val="2"/>
        <w:spacing w:before="41" w:line="183" w:lineRule="auto"/>
        <w:ind w:left="626"/>
        <w:rPr>
          <w:sz w:val="22"/>
          <w:szCs w:val="22"/>
        </w:rPr>
      </w:pPr>
      <w:r>
        <w:rPr>
          <w:color w:val="231F20"/>
          <w:spacing w:val="-4"/>
          <w:sz w:val="22"/>
          <w:szCs w:val="22"/>
        </w:rPr>
        <w:t>•</w:t>
      </w:r>
      <w:r>
        <w:rPr>
          <w:color w:val="231F20"/>
          <w:spacing w:val="8"/>
          <w:sz w:val="22"/>
          <w:szCs w:val="22"/>
        </w:rPr>
        <w:t xml:space="preserve">    </w:t>
      </w:r>
      <w:r>
        <w:rPr>
          <w:color w:val="231F20"/>
          <w:spacing w:val="-4"/>
          <w:sz w:val="22"/>
          <w:szCs w:val="22"/>
        </w:rPr>
        <w:t>理解信用组合的使命与目标</w:t>
      </w:r>
    </w:p>
    <w:p w14:paraId="49F090EE">
      <w:pPr>
        <w:pStyle w:val="2"/>
        <w:spacing w:before="31" w:line="183" w:lineRule="auto"/>
        <w:ind w:left="626"/>
        <w:rPr>
          <w:sz w:val="22"/>
          <w:szCs w:val="22"/>
        </w:rPr>
      </w:pPr>
      <w:r>
        <w:rPr>
          <w:color w:val="231F20"/>
          <w:spacing w:val="-6"/>
          <w:sz w:val="22"/>
          <w:szCs w:val="22"/>
        </w:rPr>
        <w:t>•</w:t>
      </w:r>
      <w:r>
        <w:rPr>
          <w:color w:val="231F20"/>
          <w:spacing w:val="7"/>
          <w:sz w:val="22"/>
          <w:szCs w:val="22"/>
        </w:rPr>
        <w:t xml:space="preserve">    </w:t>
      </w:r>
      <w:r>
        <w:rPr>
          <w:color w:val="231F20"/>
          <w:spacing w:val="-6"/>
          <w:sz w:val="22"/>
          <w:szCs w:val="22"/>
        </w:rPr>
        <w:t>解释贷款指引</w:t>
      </w:r>
    </w:p>
    <w:p w14:paraId="68CE8444">
      <w:pPr>
        <w:pStyle w:val="2"/>
        <w:spacing w:before="43" w:line="183" w:lineRule="auto"/>
        <w:ind w:left="626"/>
        <w:rPr>
          <w:sz w:val="22"/>
          <w:szCs w:val="22"/>
        </w:rPr>
      </w:pPr>
      <w:r>
        <w:rPr>
          <w:color w:val="231F20"/>
          <w:spacing w:val="-1"/>
          <w:sz w:val="22"/>
          <w:szCs w:val="22"/>
        </w:rPr>
        <w:t>•    说明信用风险与贷款定价之间的关系</w:t>
      </w:r>
    </w:p>
    <w:p w14:paraId="5EE027F4">
      <w:pPr>
        <w:pStyle w:val="2"/>
        <w:spacing w:before="42" w:line="182" w:lineRule="auto"/>
        <w:ind w:left="626"/>
        <w:rPr>
          <w:sz w:val="22"/>
          <w:szCs w:val="22"/>
        </w:rPr>
      </w:pPr>
      <w:r>
        <w:rPr>
          <w:color w:val="231F20"/>
          <w:spacing w:val="-4"/>
          <w:sz w:val="22"/>
          <w:szCs w:val="22"/>
        </w:rPr>
        <w:t>•</w:t>
      </w:r>
      <w:r>
        <w:rPr>
          <w:color w:val="231F20"/>
          <w:spacing w:val="7"/>
          <w:sz w:val="22"/>
          <w:szCs w:val="22"/>
        </w:rPr>
        <w:t xml:space="preserve">    </w:t>
      </w:r>
      <w:r>
        <w:rPr>
          <w:color w:val="231F20"/>
          <w:spacing w:val="-4"/>
          <w:sz w:val="22"/>
          <w:szCs w:val="22"/>
        </w:rPr>
        <w:t>解释信用风险模型的输入</w:t>
      </w:r>
    </w:p>
    <w:p w14:paraId="1B844632">
      <w:pPr>
        <w:pStyle w:val="2"/>
        <w:spacing w:before="1" w:line="210" w:lineRule="auto"/>
        <w:ind w:left="626"/>
        <w:rPr>
          <w:sz w:val="22"/>
          <w:szCs w:val="22"/>
        </w:rPr>
      </w:pPr>
      <w:r>
        <w:rPr>
          <w:color w:val="231F20"/>
          <w:spacing w:val="-5"/>
          <w:sz w:val="22"/>
          <w:szCs w:val="22"/>
        </w:rPr>
        <w:t>•</w:t>
      </w:r>
      <w:r>
        <w:rPr>
          <w:color w:val="231F20"/>
          <w:spacing w:val="9"/>
          <w:sz w:val="22"/>
          <w:szCs w:val="22"/>
        </w:rPr>
        <w:t xml:space="preserve">    </w:t>
      </w:r>
      <w:r>
        <w:rPr>
          <w:color w:val="231F20"/>
          <w:spacing w:val="-5"/>
          <w:sz w:val="22"/>
          <w:szCs w:val="22"/>
        </w:rPr>
        <w:t>说明违约概率（</w:t>
      </w:r>
      <w:r>
        <w:rPr>
          <w:color w:val="231F20"/>
          <w:spacing w:val="-22"/>
          <w:sz w:val="22"/>
          <w:szCs w:val="22"/>
        </w:rPr>
        <w:t xml:space="preserve"> </w:t>
      </w:r>
      <w:r>
        <w:rPr>
          <w:color w:val="231F20"/>
          <w:spacing w:val="-5"/>
          <w:sz w:val="22"/>
          <w:szCs w:val="22"/>
        </w:rPr>
        <w:t>PD）的含义</w:t>
      </w:r>
    </w:p>
    <w:p w14:paraId="715FDB01">
      <w:pPr>
        <w:pStyle w:val="2"/>
        <w:spacing w:line="221" w:lineRule="auto"/>
        <w:ind w:left="626"/>
        <w:rPr>
          <w:sz w:val="22"/>
          <w:szCs w:val="22"/>
        </w:rPr>
      </w:pPr>
      <w:r>
        <w:rPr>
          <w:color w:val="231F20"/>
          <w:spacing w:val="-1"/>
          <w:sz w:val="22"/>
          <w:szCs w:val="22"/>
        </w:rPr>
        <w:t>•    区分衍生工具合约与贷款的违约风险敞口（</w:t>
      </w:r>
      <w:r>
        <w:rPr>
          <w:color w:val="231F20"/>
          <w:spacing w:val="-9"/>
          <w:sz w:val="22"/>
          <w:szCs w:val="22"/>
        </w:rPr>
        <w:t xml:space="preserve"> </w:t>
      </w:r>
      <w:r>
        <w:rPr>
          <w:color w:val="231F20"/>
          <w:spacing w:val="-1"/>
          <w:sz w:val="22"/>
          <w:szCs w:val="22"/>
        </w:rPr>
        <w:t>EAD）</w:t>
      </w:r>
    </w:p>
    <w:p w14:paraId="0976E98F">
      <w:pPr>
        <w:pStyle w:val="2"/>
        <w:spacing w:before="1" w:line="221" w:lineRule="auto"/>
        <w:ind w:left="626"/>
        <w:rPr>
          <w:sz w:val="22"/>
          <w:szCs w:val="22"/>
        </w:rPr>
      </w:pPr>
      <w:r>
        <w:rPr>
          <w:color w:val="231F20"/>
          <w:spacing w:val="-1"/>
          <w:sz w:val="22"/>
          <w:szCs w:val="22"/>
        </w:rPr>
        <w:t>•    计算债务人的清偿率和违约损失率（</w:t>
      </w:r>
      <w:r>
        <w:rPr>
          <w:color w:val="231F20"/>
          <w:spacing w:val="-18"/>
          <w:sz w:val="22"/>
          <w:szCs w:val="22"/>
        </w:rPr>
        <w:t xml:space="preserve"> </w:t>
      </w:r>
      <w:r>
        <w:rPr>
          <w:color w:val="231F20"/>
          <w:spacing w:val="-1"/>
          <w:sz w:val="22"/>
          <w:szCs w:val="22"/>
        </w:rPr>
        <w:t>LGD）</w:t>
      </w:r>
    </w:p>
    <w:p w14:paraId="27469597">
      <w:pPr>
        <w:pStyle w:val="2"/>
        <w:spacing w:before="172" w:line="184" w:lineRule="auto"/>
        <w:ind w:left="592"/>
        <w:rPr>
          <w:sz w:val="24"/>
          <w:szCs w:val="24"/>
        </w:rPr>
      </w:pPr>
      <w:r>
        <w:rPr>
          <w:color w:val="231F20"/>
          <w:spacing w:val="-2"/>
          <w:sz w:val="24"/>
          <w:szCs w:val="24"/>
        </w:rPr>
        <w:t>第二章</w:t>
      </w:r>
      <w:r>
        <w:rPr>
          <w:color w:val="231F20"/>
          <w:spacing w:val="13"/>
          <w:sz w:val="24"/>
          <w:szCs w:val="24"/>
        </w:rPr>
        <w:t xml:space="preserve">   </w:t>
      </w:r>
      <w:r>
        <w:rPr>
          <w:color w:val="231F20"/>
          <w:spacing w:val="-2"/>
          <w:sz w:val="24"/>
          <w:szCs w:val="24"/>
        </w:rPr>
        <w:t>信用产品的风险</w:t>
      </w:r>
    </w:p>
    <w:p w14:paraId="74906094">
      <w:pPr>
        <w:pStyle w:val="2"/>
        <w:spacing w:before="84" w:line="185" w:lineRule="auto"/>
        <w:ind w:left="595"/>
        <w:rPr>
          <w:sz w:val="22"/>
          <w:szCs w:val="22"/>
        </w:rPr>
      </w:pPr>
      <w:r>
        <w:rPr>
          <w:color w:val="231F20"/>
          <w:spacing w:val="-5"/>
          <w:sz w:val="22"/>
          <w:szCs w:val="22"/>
        </w:rPr>
        <w:t>完成本章阅读与学习后</w:t>
      </w:r>
      <w:r>
        <w:rPr>
          <w:color w:val="231F20"/>
          <w:spacing w:val="-25"/>
          <w:sz w:val="22"/>
          <w:szCs w:val="22"/>
        </w:rPr>
        <w:t xml:space="preserve"> </w:t>
      </w:r>
      <w:r>
        <w:rPr>
          <w:color w:val="231F20"/>
          <w:spacing w:val="-5"/>
          <w:sz w:val="22"/>
          <w:szCs w:val="22"/>
        </w:rPr>
        <w:t>，您应具备以下能力：</w:t>
      </w:r>
    </w:p>
    <w:p w14:paraId="6349909B">
      <w:pPr>
        <w:pStyle w:val="2"/>
        <w:spacing w:before="35" w:line="177" w:lineRule="auto"/>
        <w:ind w:left="626"/>
        <w:rPr>
          <w:sz w:val="22"/>
          <w:szCs w:val="22"/>
        </w:rPr>
      </w:pPr>
      <w:r>
        <w:rPr>
          <w:color w:val="231F20"/>
          <w:spacing w:val="-5"/>
          <w:position w:val="1"/>
          <w:sz w:val="22"/>
          <w:szCs w:val="22"/>
        </w:rPr>
        <w:t>•</w:t>
      </w:r>
      <w:r>
        <w:rPr>
          <w:color w:val="231F20"/>
          <w:spacing w:val="8"/>
          <w:position w:val="1"/>
          <w:sz w:val="22"/>
          <w:szCs w:val="22"/>
        </w:rPr>
        <w:t xml:space="preserve">    </w:t>
      </w:r>
      <w:r>
        <w:rPr>
          <w:color w:val="231F20"/>
          <w:spacing w:val="-5"/>
          <w:sz w:val="22"/>
          <w:szCs w:val="22"/>
        </w:rPr>
        <w:t>说明信用产品的特征</w:t>
      </w:r>
    </w:p>
    <w:p w14:paraId="417911CC">
      <w:pPr>
        <w:pStyle w:val="2"/>
        <w:spacing w:before="40" w:line="184" w:lineRule="auto"/>
        <w:ind w:left="626"/>
        <w:rPr>
          <w:sz w:val="22"/>
          <w:szCs w:val="22"/>
        </w:rPr>
      </w:pPr>
      <w:r>
        <w:rPr>
          <w:color w:val="231F20"/>
          <w:spacing w:val="-5"/>
          <w:sz w:val="22"/>
          <w:szCs w:val="22"/>
        </w:rPr>
        <w:t>•</w:t>
      </w:r>
      <w:r>
        <w:rPr>
          <w:color w:val="231F20"/>
          <w:spacing w:val="6"/>
          <w:sz w:val="22"/>
          <w:szCs w:val="22"/>
        </w:rPr>
        <w:t xml:space="preserve">    </w:t>
      </w:r>
      <w:r>
        <w:rPr>
          <w:color w:val="231F20"/>
          <w:spacing w:val="-5"/>
          <w:sz w:val="22"/>
          <w:szCs w:val="22"/>
        </w:rPr>
        <w:t>理解零售信用风险</w:t>
      </w:r>
    </w:p>
    <w:p w14:paraId="276F1E2D">
      <w:pPr>
        <w:pStyle w:val="2"/>
        <w:spacing w:before="43" w:line="177" w:lineRule="auto"/>
        <w:ind w:left="626"/>
        <w:rPr>
          <w:sz w:val="22"/>
          <w:szCs w:val="22"/>
        </w:rPr>
      </w:pPr>
      <w:r>
        <w:rPr>
          <w:color w:val="231F20"/>
          <w:spacing w:val="-4"/>
          <w:position w:val="1"/>
          <w:sz w:val="22"/>
          <w:szCs w:val="22"/>
        </w:rPr>
        <w:t>•</w:t>
      </w:r>
      <w:r>
        <w:rPr>
          <w:color w:val="231F20"/>
          <w:spacing w:val="7"/>
          <w:position w:val="1"/>
          <w:sz w:val="22"/>
          <w:szCs w:val="22"/>
        </w:rPr>
        <w:t xml:space="preserve">    </w:t>
      </w:r>
      <w:r>
        <w:rPr>
          <w:color w:val="231F20"/>
          <w:spacing w:val="-4"/>
          <w:sz w:val="22"/>
          <w:szCs w:val="22"/>
        </w:rPr>
        <w:t>理解消费信用评分的目的</w:t>
      </w:r>
    </w:p>
    <w:p w14:paraId="6F9F3CD0">
      <w:pPr>
        <w:pStyle w:val="2"/>
        <w:spacing w:before="39" w:line="183" w:lineRule="auto"/>
        <w:ind w:left="626"/>
        <w:rPr>
          <w:sz w:val="22"/>
          <w:szCs w:val="22"/>
        </w:rPr>
      </w:pPr>
      <w:r>
        <w:rPr>
          <w:color w:val="231F20"/>
          <w:spacing w:val="-4"/>
          <w:sz w:val="22"/>
          <w:szCs w:val="22"/>
        </w:rPr>
        <w:t>•</w:t>
      </w:r>
      <w:r>
        <w:rPr>
          <w:color w:val="231F20"/>
          <w:spacing w:val="8"/>
          <w:sz w:val="22"/>
          <w:szCs w:val="22"/>
        </w:rPr>
        <w:t xml:space="preserve">    </w:t>
      </w:r>
      <w:r>
        <w:rPr>
          <w:color w:val="231F20"/>
          <w:spacing w:val="-4"/>
          <w:sz w:val="22"/>
          <w:szCs w:val="22"/>
        </w:rPr>
        <w:t>描述合理的信用评分因素</w:t>
      </w:r>
    </w:p>
    <w:p w14:paraId="60145AD0">
      <w:pPr>
        <w:pStyle w:val="2"/>
        <w:spacing w:before="1" w:line="221" w:lineRule="auto"/>
        <w:ind w:left="626"/>
        <w:rPr>
          <w:sz w:val="22"/>
          <w:szCs w:val="22"/>
        </w:rPr>
      </w:pPr>
      <w:r>
        <w:rPr>
          <w:color w:val="231F20"/>
          <w:spacing w:val="-1"/>
          <w:sz w:val="22"/>
          <w:szCs w:val="22"/>
        </w:rPr>
        <w:t>•    设计针对中小型企业（</w:t>
      </w:r>
      <w:r>
        <w:rPr>
          <w:color w:val="231F20"/>
          <w:spacing w:val="-19"/>
          <w:sz w:val="22"/>
          <w:szCs w:val="22"/>
        </w:rPr>
        <w:t xml:space="preserve"> </w:t>
      </w:r>
      <w:r>
        <w:rPr>
          <w:color w:val="231F20"/>
          <w:spacing w:val="-1"/>
          <w:sz w:val="22"/>
          <w:szCs w:val="22"/>
        </w:rPr>
        <w:t>SME）的信用评分卡</w:t>
      </w:r>
    </w:p>
    <w:p w14:paraId="7A5A36F0">
      <w:pPr>
        <w:pStyle w:val="2"/>
        <w:spacing w:before="24" w:line="184" w:lineRule="auto"/>
        <w:ind w:left="626"/>
        <w:rPr>
          <w:sz w:val="22"/>
          <w:szCs w:val="22"/>
        </w:rPr>
      </w:pPr>
      <w:r>
        <w:rPr>
          <w:color w:val="231F20"/>
          <w:spacing w:val="-5"/>
          <w:sz w:val="22"/>
          <w:szCs w:val="22"/>
        </w:rPr>
        <w:t>•</w:t>
      </w:r>
      <w:r>
        <w:rPr>
          <w:color w:val="231F20"/>
          <w:spacing w:val="8"/>
          <w:sz w:val="22"/>
          <w:szCs w:val="22"/>
        </w:rPr>
        <w:t xml:space="preserve">    </w:t>
      </w:r>
      <w:r>
        <w:rPr>
          <w:color w:val="231F20"/>
          <w:spacing w:val="-5"/>
          <w:sz w:val="22"/>
          <w:szCs w:val="22"/>
        </w:rPr>
        <w:t>说明信用评分的好处</w:t>
      </w:r>
    </w:p>
    <w:p w14:paraId="4C07A253">
      <w:pPr>
        <w:pStyle w:val="2"/>
        <w:spacing w:before="39" w:line="184" w:lineRule="auto"/>
        <w:ind w:left="626"/>
        <w:rPr>
          <w:sz w:val="22"/>
          <w:szCs w:val="22"/>
        </w:rPr>
      </w:pPr>
      <w:r>
        <w:rPr>
          <w:color w:val="231F20"/>
          <w:spacing w:val="-4"/>
          <w:sz w:val="22"/>
          <w:szCs w:val="22"/>
        </w:rPr>
        <w:t>•</w:t>
      </w:r>
      <w:r>
        <w:rPr>
          <w:color w:val="231F20"/>
          <w:spacing w:val="7"/>
          <w:sz w:val="22"/>
          <w:szCs w:val="22"/>
        </w:rPr>
        <w:t xml:space="preserve">    </w:t>
      </w:r>
      <w:r>
        <w:rPr>
          <w:color w:val="231F20"/>
          <w:spacing w:val="-4"/>
          <w:sz w:val="22"/>
          <w:szCs w:val="22"/>
        </w:rPr>
        <w:t>分析企业信用风险模型</w:t>
      </w:r>
    </w:p>
    <w:p w14:paraId="3AE2A439">
      <w:pPr>
        <w:pStyle w:val="2"/>
        <w:spacing w:before="42" w:line="183" w:lineRule="auto"/>
        <w:ind w:left="626"/>
        <w:rPr>
          <w:sz w:val="22"/>
          <w:szCs w:val="22"/>
        </w:rPr>
      </w:pPr>
      <w:r>
        <w:rPr>
          <w:color w:val="231F20"/>
          <w:spacing w:val="-1"/>
          <w:sz w:val="22"/>
          <w:szCs w:val="22"/>
        </w:rPr>
        <w:t>•    说明交易对手信用风险与企业信用风险有何不同</w:t>
      </w:r>
    </w:p>
    <w:p w14:paraId="4074737A">
      <w:pPr>
        <w:pStyle w:val="2"/>
        <w:spacing w:before="1" w:line="221" w:lineRule="auto"/>
        <w:ind w:left="626"/>
        <w:rPr>
          <w:sz w:val="22"/>
          <w:szCs w:val="22"/>
        </w:rPr>
      </w:pPr>
      <w:r>
        <w:rPr>
          <w:color w:val="231F20"/>
          <w:spacing w:val="-1"/>
          <w:sz w:val="22"/>
          <w:szCs w:val="22"/>
        </w:rPr>
        <w:t>•    计算简单的信用价值调整（</w:t>
      </w:r>
      <w:r>
        <w:rPr>
          <w:color w:val="231F20"/>
          <w:spacing w:val="-30"/>
          <w:sz w:val="22"/>
          <w:szCs w:val="22"/>
        </w:rPr>
        <w:t xml:space="preserve"> </w:t>
      </w:r>
      <w:r>
        <w:rPr>
          <w:color w:val="231F20"/>
          <w:spacing w:val="-1"/>
          <w:sz w:val="22"/>
          <w:szCs w:val="22"/>
        </w:rPr>
        <w:t>CVA）</w:t>
      </w:r>
    </w:p>
    <w:p w14:paraId="06946B79">
      <w:pPr>
        <w:pStyle w:val="2"/>
        <w:spacing w:before="23" w:line="183" w:lineRule="auto"/>
        <w:ind w:left="626"/>
        <w:rPr>
          <w:sz w:val="22"/>
          <w:szCs w:val="22"/>
        </w:rPr>
      </w:pPr>
      <w:r>
        <w:rPr>
          <w:color w:val="231F20"/>
          <w:spacing w:val="-4"/>
          <w:sz w:val="22"/>
          <w:szCs w:val="22"/>
        </w:rPr>
        <w:t>•</w:t>
      </w:r>
      <w:r>
        <w:rPr>
          <w:color w:val="231F20"/>
          <w:spacing w:val="8"/>
          <w:sz w:val="22"/>
          <w:szCs w:val="22"/>
        </w:rPr>
        <w:t xml:space="preserve">    </w:t>
      </w:r>
      <w:r>
        <w:rPr>
          <w:color w:val="231F20"/>
          <w:spacing w:val="-4"/>
          <w:sz w:val="22"/>
          <w:szCs w:val="22"/>
        </w:rPr>
        <w:t>说明主权信用风险的要素</w:t>
      </w:r>
    </w:p>
    <w:p w14:paraId="7FE236DA">
      <w:pPr>
        <w:pStyle w:val="2"/>
        <w:spacing w:before="43" w:line="183" w:lineRule="auto"/>
        <w:ind w:left="626"/>
        <w:rPr>
          <w:sz w:val="22"/>
          <w:szCs w:val="22"/>
        </w:rPr>
      </w:pPr>
      <w:r>
        <w:rPr>
          <w:color w:val="231F20"/>
          <w:spacing w:val="-4"/>
          <w:sz w:val="22"/>
          <w:szCs w:val="22"/>
        </w:rPr>
        <w:t>•     阐明主权评级与企业评级之间的关系</w:t>
      </w:r>
    </w:p>
    <w:p w14:paraId="2FB96B5E">
      <w:pPr>
        <w:pStyle w:val="2"/>
        <w:spacing w:before="63" w:line="184" w:lineRule="auto"/>
        <w:ind w:left="626"/>
        <w:rPr>
          <w:sz w:val="22"/>
          <w:szCs w:val="22"/>
        </w:rPr>
      </w:pPr>
      <w:r>
        <w:rPr>
          <w:color w:val="231F20"/>
          <w:spacing w:val="-4"/>
          <w:sz w:val="22"/>
          <w:szCs w:val="22"/>
        </w:rPr>
        <w:t>•</w:t>
      </w:r>
      <w:r>
        <w:rPr>
          <w:color w:val="231F20"/>
          <w:spacing w:val="7"/>
          <w:sz w:val="22"/>
          <w:szCs w:val="22"/>
        </w:rPr>
        <w:t xml:space="preserve">    </w:t>
      </w:r>
      <w:r>
        <w:rPr>
          <w:color w:val="231F20"/>
          <w:spacing w:val="-4"/>
          <w:sz w:val="22"/>
          <w:szCs w:val="22"/>
        </w:rPr>
        <w:t>评估主权敞口的监管处理</w:t>
      </w:r>
    </w:p>
    <w:p w14:paraId="11870FF2">
      <w:pPr>
        <w:spacing w:line="293" w:lineRule="auto"/>
        <w:rPr>
          <w:rFonts w:ascii="Arial"/>
          <w:sz w:val="21"/>
        </w:rPr>
      </w:pPr>
    </w:p>
    <w:p w14:paraId="04B34E93">
      <w:pPr>
        <w:spacing w:line="293" w:lineRule="auto"/>
        <w:rPr>
          <w:rFonts w:ascii="Arial"/>
          <w:sz w:val="21"/>
        </w:rPr>
      </w:pPr>
      <w:r>
        <w:rPr>
          <w:rFonts w:hint="eastAsia" w:ascii="微软雅黑" w:hAnsi="微软雅黑" w:eastAsia="微软雅黑" w:cs="微软雅黑"/>
          <w:sz w:val="71"/>
          <w:szCs w:val="71"/>
          <w:lang w:eastAsia="zh-CN"/>
        </w:rPr>
        <w:drawing>
          <wp:anchor distT="0" distB="0" distL="114300" distR="114300" simplePos="0" relativeHeight="251699200" behindDoc="0" locked="0" layoutInCell="1" allowOverlap="1">
            <wp:simplePos x="0" y="0"/>
            <wp:positionH relativeFrom="column">
              <wp:posOffset>-443865</wp:posOffset>
            </wp:positionH>
            <wp:positionV relativeFrom="paragraph">
              <wp:posOffset>213995</wp:posOffset>
            </wp:positionV>
            <wp:extent cx="6795770" cy="384810"/>
            <wp:effectExtent l="0" t="0" r="1270" b="11430"/>
            <wp:wrapNone/>
            <wp:docPr id="18" name="图片 18" descr="文字文稿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文字文稿1_01"/>
                    <pic:cNvPicPr>
                      <a:picLocks noChangeAspect="1"/>
                    </pic:cNvPicPr>
                  </pic:nvPicPr>
                  <pic:blipFill>
                    <a:blip r:embed="rId36">
                      <a:lum contrast="6000"/>
                    </a:blip>
                    <a:srcRect t="96008"/>
                    <a:stretch>
                      <a:fillRect/>
                    </a:stretch>
                  </pic:blipFill>
                  <pic:spPr>
                    <a:xfrm>
                      <a:off x="0" y="0"/>
                      <a:ext cx="6795770" cy="384810"/>
                    </a:xfrm>
                    <a:prstGeom prst="rect">
                      <a:avLst/>
                    </a:prstGeom>
                  </pic:spPr>
                </pic:pic>
              </a:graphicData>
            </a:graphic>
          </wp:anchor>
        </w:drawing>
      </w:r>
    </w:p>
    <w:p w14:paraId="39501DE1">
      <w:pPr>
        <w:spacing w:line="294" w:lineRule="auto"/>
        <w:rPr>
          <w:rFonts w:ascii="Arial"/>
          <w:sz w:val="21"/>
        </w:rPr>
      </w:pPr>
    </w:p>
    <w:p w14:paraId="2C6D075B">
      <w:pPr>
        <w:pStyle w:val="2"/>
        <w:spacing w:before="78" w:line="128" w:lineRule="exact"/>
        <w:ind w:left="191"/>
        <w:rPr>
          <w:sz w:val="18"/>
          <w:szCs w:val="18"/>
        </w:rPr>
      </w:pPr>
      <w:r>
        <w:pict>
          <v:shape id="_x0000_s1028" o:spid="_x0000_s1028" o:spt="202" type="#_x0000_t202" style="position:absolute;left:0pt;margin-left:315.5pt;margin-top:0.45pt;height:17.65pt;width:67.4pt;z-index:251671552;mso-width-relative:page;mso-height-relative:page;" filled="f" stroked="f" coordsize="21600,21600">
            <v:path/>
            <v:fill on="f" focussize="0,0"/>
            <v:stroke on="f"/>
            <v:imagedata o:title=""/>
            <o:lock v:ext="edit" aspectratio="f"/>
            <v:textbox inset="0mm,0mm,0mm,0mm">
              <w:txbxContent>
                <w:p w14:paraId="50791C25">
                  <w:pPr>
                    <w:pStyle w:val="2"/>
                    <w:spacing w:before="20" w:line="312" w:lineRule="exact"/>
                    <w:rPr>
                      <w:sz w:val="18"/>
                      <w:szCs w:val="18"/>
                    </w:rPr>
                  </w:pPr>
                </w:p>
              </w:txbxContent>
            </v:textbox>
          </v:shape>
        </w:pict>
      </w:r>
      <w:r>
        <w:pict>
          <v:shape id="_x0000_s1029" o:spid="_x0000_s1029" o:spt="202" type="#_x0000_t202" style="position:absolute;left:0pt;margin-left:13.35pt;margin-top:0.45pt;height:16.5pt;width:145.6pt;z-index:251670528;mso-width-relative:page;mso-height-relative:page;" filled="f" stroked="f" coordsize="21600,21600">
            <v:path/>
            <v:fill on="f" focussize="0,0"/>
            <v:stroke on="f"/>
            <v:imagedata o:title=""/>
            <o:lock v:ext="edit" aspectratio="f"/>
            <v:textbox inset="0mm,0mm,0mm,0mm">
              <w:txbxContent>
                <w:p w14:paraId="3F8D9C0D">
                  <w:pPr>
                    <w:pStyle w:val="2"/>
                    <w:spacing w:before="19" w:line="225" w:lineRule="auto"/>
                    <w:rPr>
                      <w:sz w:val="18"/>
                      <w:szCs w:val="18"/>
                    </w:rPr>
                  </w:pPr>
                </w:p>
              </w:txbxContent>
            </v:textbox>
          </v:shape>
        </w:pict>
      </w:r>
    </w:p>
    <w:p w14:paraId="677AA02B">
      <w:pPr>
        <w:spacing w:line="128" w:lineRule="exact"/>
        <w:rPr>
          <w:sz w:val="18"/>
          <w:szCs w:val="18"/>
        </w:rPr>
        <w:sectPr>
          <w:footerReference r:id="rId17" w:type="default"/>
          <w:pgSz w:w="10660" w:h="15081"/>
          <w:pgMar w:top="1281" w:right="1598" w:bottom="82" w:left="716" w:header="0" w:footer="0" w:gutter="0"/>
          <w:cols w:space="720" w:num="1"/>
        </w:sectPr>
      </w:pPr>
    </w:p>
    <w:p w14:paraId="3BA6AF5C">
      <w:pPr>
        <w:pStyle w:val="2"/>
        <w:spacing w:before="47" w:line="184" w:lineRule="auto"/>
        <w:rPr>
          <w:sz w:val="24"/>
          <w:szCs w:val="24"/>
        </w:rPr>
      </w:pPr>
      <w:r>
        <w:rPr>
          <w:color w:val="231F20"/>
          <w:spacing w:val="-2"/>
          <w:sz w:val="24"/>
          <w:szCs w:val="24"/>
        </w:rPr>
        <w:t>第三章</w:t>
      </w:r>
      <w:r>
        <w:rPr>
          <w:color w:val="231F20"/>
          <w:spacing w:val="13"/>
          <w:sz w:val="24"/>
          <w:szCs w:val="24"/>
        </w:rPr>
        <w:t xml:space="preserve">   </w:t>
      </w:r>
      <w:r>
        <w:rPr>
          <w:color w:val="231F20"/>
          <w:spacing w:val="-2"/>
          <w:sz w:val="24"/>
          <w:szCs w:val="24"/>
        </w:rPr>
        <w:t>信用风险组合管理</w:t>
      </w:r>
    </w:p>
    <w:p w14:paraId="1FD306ED">
      <w:pPr>
        <w:pStyle w:val="2"/>
        <w:spacing w:before="83" w:line="185" w:lineRule="auto"/>
        <w:ind w:left="2"/>
        <w:rPr>
          <w:sz w:val="22"/>
          <w:szCs w:val="22"/>
        </w:rPr>
      </w:pPr>
      <w:r>
        <w:rPr>
          <w:color w:val="231F20"/>
          <w:spacing w:val="-5"/>
          <w:sz w:val="22"/>
          <w:szCs w:val="22"/>
        </w:rPr>
        <w:t>完成本章阅读与学习后</w:t>
      </w:r>
      <w:r>
        <w:rPr>
          <w:color w:val="231F20"/>
          <w:spacing w:val="-25"/>
          <w:sz w:val="22"/>
          <w:szCs w:val="22"/>
        </w:rPr>
        <w:t xml:space="preserve"> </w:t>
      </w:r>
      <w:r>
        <w:rPr>
          <w:color w:val="231F20"/>
          <w:spacing w:val="-5"/>
          <w:sz w:val="22"/>
          <w:szCs w:val="22"/>
        </w:rPr>
        <w:t>，您应具备以下能力：</w:t>
      </w:r>
    </w:p>
    <w:p w14:paraId="58481A42">
      <w:pPr>
        <w:pStyle w:val="2"/>
        <w:spacing w:before="29" w:line="184" w:lineRule="auto"/>
        <w:ind w:left="30"/>
        <w:rPr>
          <w:sz w:val="22"/>
          <w:szCs w:val="22"/>
        </w:rPr>
      </w:pPr>
      <w:r>
        <w:rPr>
          <w:color w:val="231F20"/>
          <w:spacing w:val="-4"/>
          <w:sz w:val="22"/>
          <w:szCs w:val="22"/>
        </w:rPr>
        <w:t>•</w:t>
      </w:r>
      <w:r>
        <w:rPr>
          <w:color w:val="231F20"/>
          <w:spacing w:val="9"/>
          <w:sz w:val="22"/>
          <w:szCs w:val="22"/>
        </w:rPr>
        <w:t xml:space="preserve">    </w:t>
      </w:r>
      <w:r>
        <w:rPr>
          <w:color w:val="231F20"/>
          <w:spacing w:val="-4"/>
          <w:sz w:val="22"/>
          <w:szCs w:val="22"/>
        </w:rPr>
        <w:t>描述信用风险管理的演变</w:t>
      </w:r>
    </w:p>
    <w:p w14:paraId="2A907A94">
      <w:pPr>
        <w:pStyle w:val="2"/>
        <w:spacing w:before="42" w:line="184" w:lineRule="auto"/>
        <w:ind w:left="30"/>
        <w:rPr>
          <w:sz w:val="22"/>
          <w:szCs w:val="22"/>
        </w:rPr>
      </w:pPr>
      <w:r>
        <w:rPr>
          <w:color w:val="231F20"/>
          <w:spacing w:val="-1"/>
          <w:sz w:val="22"/>
          <w:szCs w:val="22"/>
        </w:rPr>
        <w:t>•    理解相关性在信用分析中的目的</w:t>
      </w:r>
    </w:p>
    <w:p w14:paraId="5D6A414A">
      <w:pPr>
        <w:pStyle w:val="2"/>
        <w:spacing w:before="41" w:line="183" w:lineRule="auto"/>
        <w:ind w:left="30"/>
        <w:rPr>
          <w:sz w:val="22"/>
          <w:szCs w:val="22"/>
        </w:rPr>
      </w:pPr>
      <w:r>
        <w:rPr>
          <w:color w:val="231F20"/>
          <w:spacing w:val="-4"/>
          <w:sz w:val="22"/>
          <w:szCs w:val="22"/>
        </w:rPr>
        <w:t>•</w:t>
      </w:r>
      <w:r>
        <w:rPr>
          <w:color w:val="231F20"/>
          <w:spacing w:val="9"/>
          <w:sz w:val="22"/>
          <w:szCs w:val="22"/>
        </w:rPr>
        <w:t xml:space="preserve">    </w:t>
      </w:r>
      <w:r>
        <w:rPr>
          <w:color w:val="231F20"/>
          <w:spacing w:val="-4"/>
          <w:sz w:val="22"/>
          <w:szCs w:val="22"/>
        </w:rPr>
        <w:t>探讨信用组合的风险管理</w:t>
      </w:r>
    </w:p>
    <w:p w14:paraId="19925F8C">
      <w:pPr>
        <w:pStyle w:val="2"/>
        <w:spacing w:before="39" w:line="184" w:lineRule="auto"/>
        <w:ind w:left="30"/>
        <w:rPr>
          <w:sz w:val="22"/>
          <w:szCs w:val="22"/>
        </w:rPr>
      </w:pPr>
      <w:r>
        <w:rPr>
          <w:color w:val="231F20"/>
          <w:spacing w:val="-6"/>
          <w:sz w:val="22"/>
          <w:szCs w:val="22"/>
        </w:rPr>
        <w:t>•</w:t>
      </w:r>
      <w:r>
        <w:rPr>
          <w:color w:val="231F20"/>
          <w:spacing w:val="14"/>
          <w:sz w:val="22"/>
          <w:szCs w:val="22"/>
        </w:rPr>
        <w:t xml:space="preserve">    </w:t>
      </w:r>
      <w:r>
        <w:rPr>
          <w:color w:val="231F20"/>
          <w:spacing w:val="-6"/>
          <w:sz w:val="22"/>
          <w:szCs w:val="22"/>
        </w:rPr>
        <w:t>阐明资产证券化的要素</w:t>
      </w:r>
    </w:p>
    <w:p w14:paraId="1DF4724F">
      <w:pPr>
        <w:pStyle w:val="2"/>
        <w:spacing w:before="41" w:line="183" w:lineRule="auto"/>
        <w:ind w:left="30"/>
        <w:rPr>
          <w:sz w:val="22"/>
          <w:szCs w:val="22"/>
        </w:rPr>
      </w:pPr>
      <w:r>
        <w:rPr>
          <w:color w:val="231F20"/>
          <w:spacing w:val="-4"/>
          <w:sz w:val="22"/>
          <w:szCs w:val="22"/>
        </w:rPr>
        <w:t>•</w:t>
      </w:r>
      <w:r>
        <w:rPr>
          <w:color w:val="231F20"/>
          <w:spacing w:val="9"/>
          <w:sz w:val="22"/>
          <w:szCs w:val="22"/>
        </w:rPr>
        <w:t xml:space="preserve">    </w:t>
      </w:r>
      <w:r>
        <w:rPr>
          <w:color w:val="231F20"/>
          <w:spacing w:val="-4"/>
          <w:sz w:val="22"/>
          <w:szCs w:val="22"/>
        </w:rPr>
        <w:t>说明信用衍生工具如何作用</w:t>
      </w:r>
    </w:p>
    <w:p w14:paraId="4430D007">
      <w:pPr>
        <w:pStyle w:val="2"/>
        <w:spacing w:before="1" w:line="222" w:lineRule="auto"/>
        <w:ind w:left="30"/>
        <w:rPr>
          <w:sz w:val="22"/>
          <w:szCs w:val="22"/>
        </w:rPr>
      </w:pPr>
      <w:r>
        <w:rPr>
          <w:color w:val="231F20"/>
          <w:sz w:val="22"/>
          <w:szCs w:val="22"/>
        </w:rPr>
        <w:t>•    描述信用违约互换（</w:t>
      </w:r>
      <w:r>
        <w:rPr>
          <w:color w:val="231F20"/>
          <w:spacing w:val="-33"/>
          <w:sz w:val="22"/>
          <w:szCs w:val="22"/>
        </w:rPr>
        <w:t xml:space="preserve"> </w:t>
      </w:r>
      <w:r>
        <w:rPr>
          <w:color w:val="231F20"/>
          <w:sz w:val="22"/>
          <w:szCs w:val="22"/>
        </w:rPr>
        <w:t>CDS）指数</w:t>
      </w:r>
      <w:r>
        <w:rPr>
          <w:color w:val="231F20"/>
          <w:spacing w:val="-1"/>
          <w:sz w:val="22"/>
          <w:szCs w:val="22"/>
        </w:rPr>
        <w:t>的目的和结构</w:t>
      </w:r>
    </w:p>
    <w:p w14:paraId="6E240112">
      <w:pPr>
        <w:pStyle w:val="2"/>
        <w:spacing w:before="25" w:line="183" w:lineRule="auto"/>
        <w:ind w:left="30"/>
        <w:rPr>
          <w:sz w:val="22"/>
          <w:szCs w:val="22"/>
        </w:rPr>
      </w:pPr>
      <w:r>
        <w:rPr>
          <w:color w:val="231F20"/>
          <w:spacing w:val="-4"/>
          <w:sz w:val="22"/>
          <w:szCs w:val="22"/>
        </w:rPr>
        <w:t>•</w:t>
      </w:r>
      <w:r>
        <w:rPr>
          <w:color w:val="231F20"/>
          <w:spacing w:val="9"/>
          <w:sz w:val="22"/>
          <w:szCs w:val="22"/>
        </w:rPr>
        <w:t xml:space="preserve">    </w:t>
      </w:r>
      <w:r>
        <w:rPr>
          <w:color w:val="231F20"/>
          <w:spacing w:val="-4"/>
          <w:sz w:val="22"/>
          <w:szCs w:val="22"/>
        </w:rPr>
        <w:t>说明抵押品如何作用的要素</w:t>
      </w:r>
    </w:p>
    <w:p w14:paraId="58B1F120">
      <w:pPr>
        <w:pStyle w:val="2"/>
        <w:spacing w:before="41" w:line="183" w:lineRule="auto"/>
        <w:ind w:left="30"/>
        <w:rPr>
          <w:sz w:val="22"/>
          <w:szCs w:val="22"/>
        </w:rPr>
      </w:pPr>
      <w:r>
        <w:rPr>
          <w:color w:val="231F20"/>
          <w:spacing w:val="-1"/>
          <w:sz w:val="22"/>
          <w:szCs w:val="22"/>
        </w:rPr>
        <w:t>•    提供关于信用组合管理模型的概述</w:t>
      </w:r>
    </w:p>
    <w:p w14:paraId="0D84AD89">
      <w:pPr>
        <w:pStyle w:val="2"/>
        <w:spacing w:before="41" w:line="183" w:lineRule="auto"/>
        <w:ind w:left="30"/>
        <w:rPr>
          <w:sz w:val="22"/>
          <w:szCs w:val="22"/>
        </w:rPr>
      </w:pPr>
      <w:r>
        <w:rPr>
          <w:color w:val="231F20"/>
          <w:spacing w:val="-4"/>
          <w:sz w:val="22"/>
          <w:szCs w:val="22"/>
        </w:rPr>
        <w:t>•</w:t>
      </w:r>
      <w:r>
        <w:rPr>
          <w:color w:val="231F20"/>
          <w:spacing w:val="10"/>
          <w:sz w:val="22"/>
          <w:szCs w:val="22"/>
        </w:rPr>
        <w:t xml:space="preserve">    </w:t>
      </w:r>
      <w:r>
        <w:rPr>
          <w:color w:val="231F20"/>
          <w:spacing w:val="-4"/>
          <w:sz w:val="22"/>
          <w:szCs w:val="22"/>
        </w:rPr>
        <w:t>描述信用组合模型的潜在问题</w:t>
      </w:r>
    </w:p>
    <w:p w14:paraId="173B86F8">
      <w:pPr>
        <w:pStyle w:val="2"/>
        <w:spacing w:before="41" w:line="178" w:lineRule="auto"/>
        <w:ind w:left="30"/>
        <w:rPr>
          <w:sz w:val="22"/>
          <w:szCs w:val="22"/>
        </w:rPr>
      </w:pPr>
      <w:r>
        <w:rPr>
          <w:color w:val="231F20"/>
          <w:spacing w:val="-1"/>
          <w:position w:val="1"/>
          <w:sz w:val="22"/>
          <w:szCs w:val="22"/>
        </w:rPr>
        <w:t xml:space="preserve">•    </w:t>
      </w:r>
      <w:r>
        <w:rPr>
          <w:color w:val="231F20"/>
          <w:spacing w:val="-1"/>
          <w:sz w:val="22"/>
          <w:szCs w:val="22"/>
        </w:rPr>
        <w:t>评估资产管理公司或坏账银行的目的</w:t>
      </w:r>
    </w:p>
    <w:p w14:paraId="5F5BEF7B">
      <w:pPr>
        <w:pStyle w:val="2"/>
        <w:spacing w:before="39" w:line="184" w:lineRule="auto"/>
        <w:ind w:left="30"/>
        <w:rPr>
          <w:sz w:val="22"/>
          <w:szCs w:val="22"/>
        </w:rPr>
      </w:pPr>
      <w:r>
        <w:rPr>
          <w:color w:val="231F20"/>
          <w:spacing w:val="-4"/>
          <w:sz w:val="22"/>
          <w:szCs w:val="22"/>
        </w:rPr>
        <w:t>•</w:t>
      </w:r>
      <w:r>
        <w:rPr>
          <w:color w:val="231F20"/>
          <w:spacing w:val="9"/>
          <w:sz w:val="22"/>
          <w:szCs w:val="22"/>
        </w:rPr>
        <w:t xml:space="preserve">    </w:t>
      </w:r>
      <w:r>
        <w:rPr>
          <w:color w:val="231F20"/>
          <w:spacing w:val="-4"/>
          <w:sz w:val="22"/>
          <w:szCs w:val="22"/>
        </w:rPr>
        <w:t>描述不良贷款的避免方法</w:t>
      </w:r>
    </w:p>
    <w:p w14:paraId="77FFA64C">
      <w:pPr>
        <w:pStyle w:val="2"/>
        <w:spacing w:before="42" w:line="184" w:lineRule="auto"/>
        <w:ind w:left="30"/>
        <w:rPr>
          <w:sz w:val="22"/>
          <w:szCs w:val="22"/>
        </w:rPr>
      </w:pPr>
      <w:r>
        <w:rPr>
          <w:color w:val="231F20"/>
          <w:spacing w:val="-1"/>
          <w:sz w:val="22"/>
          <w:szCs w:val="22"/>
        </w:rPr>
        <w:t>•    描述广泛的信用风险报告及其目的</w:t>
      </w:r>
    </w:p>
    <w:p w14:paraId="55BE9ABC">
      <w:pPr>
        <w:pStyle w:val="2"/>
        <w:spacing w:before="40" w:line="184" w:lineRule="auto"/>
        <w:ind w:left="30"/>
        <w:rPr>
          <w:sz w:val="22"/>
          <w:szCs w:val="22"/>
        </w:rPr>
      </w:pPr>
      <w:r>
        <w:rPr>
          <w:color w:val="231F20"/>
          <w:spacing w:val="-4"/>
          <w:sz w:val="22"/>
          <w:szCs w:val="22"/>
        </w:rPr>
        <w:t>•</w:t>
      </w:r>
      <w:r>
        <w:rPr>
          <w:color w:val="231F20"/>
          <w:spacing w:val="7"/>
          <w:sz w:val="22"/>
          <w:szCs w:val="22"/>
        </w:rPr>
        <w:t xml:space="preserve">    </w:t>
      </w:r>
      <w:r>
        <w:rPr>
          <w:color w:val="231F20"/>
          <w:spacing w:val="-4"/>
          <w:sz w:val="22"/>
          <w:szCs w:val="22"/>
        </w:rPr>
        <w:t>估计问题资产的回收率</w:t>
      </w:r>
    </w:p>
    <w:p w14:paraId="54C6382A">
      <w:pPr>
        <w:pStyle w:val="2"/>
        <w:spacing w:before="41" w:line="178" w:lineRule="auto"/>
        <w:ind w:left="30"/>
        <w:rPr>
          <w:sz w:val="22"/>
          <w:szCs w:val="22"/>
        </w:rPr>
      </w:pPr>
      <w:r>
        <w:rPr>
          <w:color w:val="231F20"/>
          <w:spacing w:val="-1"/>
          <w:position w:val="1"/>
          <w:sz w:val="22"/>
          <w:szCs w:val="22"/>
        </w:rPr>
        <w:t xml:space="preserve">•    </w:t>
      </w:r>
      <w:r>
        <w:rPr>
          <w:color w:val="231F20"/>
          <w:spacing w:val="-1"/>
          <w:sz w:val="22"/>
          <w:szCs w:val="22"/>
        </w:rPr>
        <w:t>定义外部信用和贷款审查的好处</w:t>
      </w:r>
    </w:p>
    <w:p w14:paraId="18CB6398">
      <w:pPr>
        <w:pStyle w:val="2"/>
        <w:spacing w:before="63" w:line="184" w:lineRule="auto"/>
        <w:ind w:left="30"/>
        <w:rPr>
          <w:sz w:val="22"/>
          <w:szCs w:val="22"/>
        </w:rPr>
      </w:pPr>
      <w:r>
        <w:rPr>
          <w:color w:val="231F20"/>
          <w:spacing w:val="-5"/>
          <w:sz w:val="22"/>
          <w:szCs w:val="22"/>
        </w:rPr>
        <w:t>•</w:t>
      </w:r>
      <w:r>
        <w:rPr>
          <w:color w:val="231F20"/>
          <w:spacing w:val="9"/>
          <w:sz w:val="22"/>
          <w:szCs w:val="22"/>
        </w:rPr>
        <w:t xml:space="preserve">    </w:t>
      </w:r>
      <w:r>
        <w:rPr>
          <w:color w:val="231F20"/>
          <w:spacing w:val="-5"/>
          <w:sz w:val="22"/>
          <w:szCs w:val="22"/>
        </w:rPr>
        <w:t>探究压力测试的要素</w:t>
      </w:r>
    </w:p>
    <w:p w14:paraId="1DC03EAF">
      <w:pPr>
        <w:pStyle w:val="2"/>
        <w:spacing w:before="186" w:line="184" w:lineRule="auto"/>
        <w:rPr>
          <w:sz w:val="24"/>
          <w:szCs w:val="24"/>
        </w:rPr>
      </w:pPr>
      <w:r>
        <w:rPr>
          <w:color w:val="231F20"/>
          <w:spacing w:val="-2"/>
          <w:sz w:val="24"/>
          <w:szCs w:val="24"/>
        </w:rPr>
        <w:t>第四章</w:t>
      </w:r>
      <w:r>
        <w:rPr>
          <w:color w:val="231F20"/>
          <w:spacing w:val="13"/>
          <w:sz w:val="24"/>
          <w:szCs w:val="24"/>
        </w:rPr>
        <w:t xml:space="preserve">   </w:t>
      </w:r>
      <w:r>
        <w:rPr>
          <w:color w:val="231F20"/>
          <w:spacing w:val="-2"/>
          <w:sz w:val="24"/>
          <w:szCs w:val="24"/>
        </w:rPr>
        <w:t>信用风险的监管视角</w:t>
      </w:r>
    </w:p>
    <w:p w14:paraId="00CCF402">
      <w:pPr>
        <w:pStyle w:val="2"/>
        <w:spacing w:before="84" w:line="185" w:lineRule="auto"/>
        <w:ind w:left="2"/>
        <w:rPr>
          <w:sz w:val="22"/>
          <w:szCs w:val="22"/>
        </w:rPr>
      </w:pPr>
      <w:r>
        <w:rPr>
          <w:color w:val="231F20"/>
          <w:spacing w:val="-5"/>
          <w:sz w:val="22"/>
          <w:szCs w:val="22"/>
        </w:rPr>
        <w:t>完成本章阅读与学习后</w:t>
      </w:r>
      <w:r>
        <w:rPr>
          <w:color w:val="231F20"/>
          <w:spacing w:val="-25"/>
          <w:sz w:val="22"/>
          <w:szCs w:val="22"/>
        </w:rPr>
        <w:t xml:space="preserve"> </w:t>
      </w:r>
      <w:r>
        <w:rPr>
          <w:color w:val="231F20"/>
          <w:spacing w:val="-5"/>
          <w:sz w:val="22"/>
          <w:szCs w:val="22"/>
        </w:rPr>
        <w:t>，您应具备以下能力：</w:t>
      </w:r>
    </w:p>
    <w:p w14:paraId="06364768">
      <w:pPr>
        <w:pStyle w:val="2"/>
        <w:spacing w:before="32" w:line="184" w:lineRule="auto"/>
        <w:ind w:left="30"/>
        <w:rPr>
          <w:sz w:val="22"/>
          <w:szCs w:val="22"/>
        </w:rPr>
      </w:pPr>
      <w:r>
        <w:rPr>
          <w:color w:val="231F20"/>
          <w:spacing w:val="-4"/>
          <w:sz w:val="22"/>
          <w:szCs w:val="22"/>
        </w:rPr>
        <w:t>•</w:t>
      </w:r>
      <w:r>
        <w:rPr>
          <w:color w:val="231F20"/>
          <w:spacing w:val="9"/>
          <w:sz w:val="22"/>
          <w:szCs w:val="22"/>
        </w:rPr>
        <w:t xml:space="preserve">    </w:t>
      </w:r>
      <w:r>
        <w:rPr>
          <w:color w:val="231F20"/>
          <w:spacing w:val="-4"/>
          <w:sz w:val="22"/>
          <w:szCs w:val="22"/>
        </w:rPr>
        <w:t>理解资本和信用风险的联系</w:t>
      </w:r>
    </w:p>
    <w:p w14:paraId="43EE2600">
      <w:pPr>
        <w:pStyle w:val="2"/>
        <w:spacing w:before="13" w:line="217" w:lineRule="auto"/>
        <w:ind w:left="30"/>
        <w:rPr>
          <w:sz w:val="22"/>
          <w:szCs w:val="22"/>
        </w:rPr>
      </w:pPr>
      <w:r>
        <w:rPr>
          <w:color w:val="231F20"/>
          <w:spacing w:val="-3"/>
          <w:sz w:val="22"/>
          <w:szCs w:val="22"/>
        </w:rPr>
        <w:t>•</w:t>
      </w:r>
      <w:r>
        <w:rPr>
          <w:color w:val="231F20"/>
          <w:spacing w:val="9"/>
          <w:sz w:val="22"/>
          <w:szCs w:val="22"/>
        </w:rPr>
        <w:t xml:space="preserve">    </w:t>
      </w:r>
      <w:r>
        <w:rPr>
          <w:color w:val="231F20"/>
          <w:spacing w:val="-3"/>
          <w:sz w:val="22"/>
          <w:szCs w:val="22"/>
        </w:rPr>
        <w:t>识别巴塞尔协议</w:t>
      </w:r>
      <w:r>
        <w:rPr>
          <w:color w:val="231F20"/>
          <w:spacing w:val="-3"/>
        </w:rPr>
        <w:t>Ⅰ</w:t>
      </w:r>
      <w:r>
        <w:rPr>
          <w:color w:val="231F20"/>
          <w:spacing w:val="-3"/>
          <w:sz w:val="22"/>
          <w:szCs w:val="22"/>
        </w:rPr>
        <w:t>的不足与批判</w:t>
      </w:r>
    </w:p>
    <w:p w14:paraId="03FC2A63">
      <w:pPr>
        <w:pStyle w:val="2"/>
        <w:spacing w:before="19" w:line="177" w:lineRule="auto"/>
        <w:ind w:left="30"/>
        <w:rPr>
          <w:sz w:val="22"/>
          <w:szCs w:val="22"/>
        </w:rPr>
      </w:pPr>
      <w:r>
        <w:rPr>
          <w:color w:val="231F20"/>
          <w:spacing w:val="-4"/>
          <w:position w:val="1"/>
          <w:sz w:val="22"/>
          <w:szCs w:val="22"/>
        </w:rPr>
        <w:t>•</w:t>
      </w:r>
      <w:r>
        <w:rPr>
          <w:color w:val="231F20"/>
          <w:spacing w:val="13"/>
          <w:position w:val="1"/>
          <w:sz w:val="22"/>
          <w:szCs w:val="22"/>
        </w:rPr>
        <w:t xml:space="preserve">    </w:t>
      </w:r>
      <w:r>
        <w:rPr>
          <w:color w:val="231F20"/>
          <w:spacing w:val="-4"/>
          <w:sz w:val="22"/>
          <w:szCs w:val="22"/>
        </w:rPr>
        <w:t>说明巴塞尔协议</w:t>
      </w:r>
      <w:r>
        <w:rPr>
          <w:color w:val="231F20"/>
          <w:spacing w:val="-4"/>
        </w:rPr>
        <w:t>Ⅱ</w:t>
      </w:r>
      <w:r>
        <w:rPr>
          <w:color w:val="231F20"/>
          <w:spacing w:val="-4"/>
          <w:sz w:val="22"/>
          <w:szCs w:val="22"/>
        </w:rPr>
        <w:t>的框架要素</w:t>
      </w:r>
    </w:p>
    <w:p w14:paraId="1B35F953">
      <w:pPr>
        <w:pStyle w:val="2"/>
        <w:spacing w:before="40" w:line="183" w:lineRule="auto"/>
        <w:ind w:left="30"/>
        <w:rPr>
          <w:sz w:val="22"/>
          <w:szCs w:val="22"/>
        </w:rPr>
      </w:pPr>
      <w:r>
        <w:rPr>
          <w:color w:val="231F20"/>
          <w:spacing w:val="-4"/>
          <w:sz w:val="22"/>
          <w:szCs w:val="22"/>
        </w:rPr>
        <w:t>•</w:t>
      </w:r>
      <w:r>
        <w:rPr>
          <w:color w:val="231F20"/>
          <w:spacing w:val="13"/>
          <w:sz w:val="22"/>
          <w:szCs w:val="22"/>
        </w:rPr>
        <w:t xml:space="preserve">    </w:t>
      </w:r>
      <w:r>
        <w:rPr>
          <w:color w:val="231F20"/>
          <w:spacing w:val="-4"/>
          <w:sz w:val="22"/>
          <w:szCs w:val="22"/>
        </w:rPr>
        <w:t>说明巴塞尔协议</w:t>
      </w:r>
      <w:r>
        <w:rPr>
          <w:color w:val="231F20"/>
          <w:spacing w:val="-4"/>
        </w:rPr>
        <w:t>Ⅲ</w:t>
      </w:r>
      <w:r>
        <w:rPr>
          <w:color w:val="231F20"/>
          <w:spacing w:val="-4"/>
          <w:sz w:val="22"/>
          <w:szCs w:val="22"/>
        </w:rPr>
        <w:t>的框架要素</w:t>
      </w:r>
    </w:p>
    <w:p w14:paraId="3C03ED7E">
      <w:pPr>
        <w:pStyle w:val="2"/>
        <w:spacing w:before="1" w:line="210" w:lineRule="auto"/>
        <w:ind w:left="30"/>
        <w:rPr>
          <w:sz w:val="22"/>
          <w:szCs w:val="22"/>
        </w:rPr>
      </w:pPr>
      <w:r>
        <w:rPr>
          <w:color w:val="231F20"/>
          <w:spacing w:val="-2"/>
          <w:sz w:val="22"/>
          <w:szCs w:val="22"/>
        </w:rPr>
        <w:t>•    描述信用风险的标准法（</w:t>
      </w:r>
      <w:r>
        <w:rPr>
          <w:color w:val="231F20"/>
          <w:spacing w:val="-13"/>
          <w:sz w:val="22"/>
          <w:szCs w:val="22"/>
        </w:rPr>
        <w:t xml:space="preserve"> </w:t>
      </w:r>
      <w:r>
        <w:rPr>
          <w:color w:val="231F20"/>
          <w:spacing w:val="-2"/>
          <w:sz w:val="22"/>
          <w:szCs w:val="22"/>
        </w:rPr>
        <w:t>SA）</w:t>
      </w:r>
    </w:p>
    <w:p w14:paraId="53B35C6F">
      <w:pPr>
        <w:pStyle w:val="2"/>
        <w:spacing w:before="1" w:line="221" w:lineRule="auto"/>
        <w:ind w:left="30"/>
        <w:rPr>
          <w:sz w:val="22"/>
          <w:szCs w:val="22"/>
        </w:rPr>
      </w:pPr>
      <w:r>
        <w:rPr>
          <w:color w:val="231F20"/>
          <w:spacing w:val="1"/>
          <w:sz w:val="22"/>
          <w:szCs w:val="22"/>
        </w:rPr>
        <w:t>•    描述信用风险的内部评级法（</w:t>
      </w:r>
      <w:r>
        <w:rPr>
          <w:color w:val="231F20"/>
          <w:sz w:val="22"/>
          <w:szCs w:val="22"/>
        </w:rPr>
        <w:t>IRB</w:t>
      </w:r>
      <w:r>
        <w:rPr>
          <w:color w:val="231F20"/>
          <w:spacing w:val="1"/>
          <w:sz w:val="22"/>
          <w:szCs w:val="22"/>
        </w:rPr>
        <w:t>）</w:t>
      </w:r>
    </w:p>
    <w:p w14:paraId="4640A558">
      <w:pPr>
        <w:pStyle w:val="2"/>
        <w:spacing w:before="21" w:line="184" w:lineRule="auto"/>
        <w:ind w:left="30"/>
        <w:rPr>
          <w:sz w:val="22"/>
          <w:szCs w:val="22"/>
        </w:rPr>
      </w:pPr>
      <w:r>
        <w:rPr>
          <w:color w:val="231F20"/>
          <w:sz w:val="22"/>
          <w:szCs w:val="22"/>
        </w:rPr>
        <w:t>•    说明为什么巴塞尔协议</w:t>
      </w:r>
      <w:r>
        <w:rPr>
          <w:color w:val="231F20"/>
        </w:rPr>
        <w:t>Ⅲ</w:t>
      </w:r>
      <w:r>
        <w:rPr>
          <w:color w:val="231F20"/>
          <w:sz w:val="22"/>
          <w:szCs w:val="22"/>
        </w:rPr>
        <w:t>包含关于信用风</w:t>
      </w:r>
      <w:r>
        <w:rPr>
          <w:color w:val="231F20"/>
          <w:spacing w:val="-1"/>
          <w:sz w:val="22"/>
          <w:szCs w:val="22"/>
        </w:rPr>
        <w:t>险的标准法修订版</w:t>
      </w:r>
    </w:p>
    <w:p w14:paraId="6E53D1C6">
      <w:pPr>
        <w:pStyle w:val="2"/>
        <w:spacing w:before="42" w:line="184" w:lineRule="auto"/>
        <w:ind w:left="30"/>
        <w:rPr>
          <w:sz w:val="22"/>
          <w:szCs w:val="22"/>
        </w:rPr>
      </w:pPr>
      <w:r>
        <w:rPr>
          <w:color w:val="231F20"/>
          <w:spacing w:val="-1"/>
          <w:sz w:val="22"/>
          <w:szCs w:val="22"/>
        </w:rPr>
        <w:t>•    说明修订巴塞尔协议</w:t>
      </w:r>
      <w:r>
        <w:rPr>
          <w:color w:val="231F20"/>
          <w:spacing w:val="-1"/>
        </w:rPr>
        <w:t>Ⅲ</w:t>
      </w:r>
      <w:r>
        <w:rPr>
          <w:color w:val="231F20"/>
          <w:spacing w:val="-1"/>
          <w:sz w:val="22"/>
          <w:szCs w:val="22"/>
        </w:rPr>
        <w:t>内部评级法的需要</w:t>
      </w:r>
    </w:p>
    <w:p w14:paraId="69F98F1F">
      <w:pPr>
        <w:pStyle w:val="2"/>
        <w:spacing w:before="41" w:line="183" w:lineRule="auto"/>
        <w:ind w:left="30"/>
        <w:rPr>
          <w:sz w:val="22"/>
          <w:szCs w:val="22"/>
        </w:rPr>
      </w:pPr>
      <w:r>
        <w:rPr>
          <w:color w:val="231F20"/>
          <w:spacing w:val="-1"/>
          <w:sz w:val="22"/>
          <w:szCs w:val="22"/>
        </w:rPr>
        <w:t>•    识别巴塞尔协议</w:t>
      </w:r>
      <w:r>
        <w:rPr>
          <w:color w:val="231F20"/>
          <w:spacing w:val="-1"/>
        </w:rPr>
        <w:t>Ⅲ</w:t>
      </w:r>
      <w:r>
        <w:rPr>
          <w:color w:val="231F20"/>
          <w:spacing w:val="-1"/>
          <w:sz w:val="22"/>
          <w:szCs w:val="22"/>
        </w:rPr>
        <w:t>证券化框架的关键要素</w:t>
      </w:r>
    </w:p>
    <w:p w14:paraId="5E3721E5">
      <w:pPr>
        <w:pStyle w:val="2"/>
        <w:spacing w:before="42" w:line="183" w:lineRule="auto"/>
        <w:ind w:left="30"/>
        <w:rPr>
          <w:sz w:val="22"/>
          <w:szCs w:val="22"/>
        </w:rPr>
      </w:pPr>
      <w:r>
        <w:rPr>
          <w:color w:val="231F20"/>
          <w:spacing w:val="-3"/>
          <w:sz w:val="22"/>
          <w:szCs w:val="22"/>
        </w:rPr>
        <w:t>•</w:t>
      </w:r>
      <w:r>
        <w:rPr>
          <w:color w:val="231F20"/>
          <w:spacing w:val="7"/>
          <w:sz w:val="22"/>
          <w:szCs w:val="22"/>
        </w:rPr>
        <w:t xml:space="preserve">    </w:t>
      </w:r>
      <w:r>
        <w:rPr>
          <w:color w:val="231F20"/>
          <w:spacing w:val="-3"/>
          <w:sz w:val="22"/>
          <w:szCs w:val="22"/>
        </w:rPr>
        <w:t>探究压力测试和监管资本的联系</w:t>
      </w:r>
    </w:p>
    <w:p w14:paraId="5450CD6C">
      <w:pPr>
        <w:pStyle w:val="2"/>
        <w:spacing w:line="209" w:lineRule="auto"/>
        <w:ind w:left="30"/>
        <w:rPr>
          <w:sz w:val="22"/>
          <w:szCs w:val="22"/>
        </w:rPr>
      </w:pPr>
      <w:r>
        <w:rPr>
          <w:color w:val="231F20"/>
          <w:spacing w:val="-3"/>
          <w:sz w:val="22"/>
          <w:szCs w:val="22"/>
        </w:rPr>
        <w:t>•</w:t>
      </w:r>
      <w:r>
        <w:rPr>
          <w:color w:val="231F20"/>
          <w:spacing w:val="12"/>
          <w:sz w:val="22"/>
          <w:szCs w:val="22"/>
        </w:rPr>
        <w:t xml:space="preserve">    </w:t>
      </w:r>
      <w:r>
        <w:rPr>
          <w:color w:val="231F20"/>
          <w:spacing w:val="-3"/>
          <w:sz w:val="22"/>
          <w:szCs w:val="22"/>
        </w:rPr>
        <w:t>区分预期损失（</w:t>
      </w:r>
      <w:r>
        <w:rPr>
          <w:color w:val="231F20"/>
          <w:spacing w:val="-18"/>
          <w:sz w:val="22"/>
          <w:szCs w:val="22"/>
        </w:rPr>
        <w:t xml:space="preserve"> </w:t>
      </w:r>
      <w:r>
        <w:rPr>
          <w:color w:val="231F20"/>
          <w:spacing w:val="-3"/>
          <w:sz w:val="22"/>
          <w:szCs w:val="22"/>
        </w:rPr>
        <w:t>EL）和非预期损失（</w:t>
      </w:r>
      <w:r>
        <w:rPr>
          <w:color w:val="231F20"/>
          <w:spacing w:val="-21"/>
          <w:sz w:val="22"/>
          <w:szCs w:val="22"/>
        </w:rPr>
        <w:t xml:space="preserve"> </w:t>
      </w:r>
      <w:r>
        <w:rPr>
          <w:color w:val="231F20"/>
          <w:spacing w:val="-3"/>
          <w:sz w:val="22"/>
          <w:szCs w:val="22"/>
        </w:rPr>
        <w:t>UL）模型</w:t>
      </w:r>
    </w:p>
    <w:p w14:paraId="6E9EF004">
      <w:pPr>
        <w:pStyle w:val="2"/>
        <w:spacing w:before="1" w:line="210" w:lineRule="auto"/>
        <w:ind w:left="30"/>
        <w:rPr>
          <w:sz w:val="22"/>
          <w:szCs w:val="22"/>
        </w:rPr>
      </w:pPr>
      <w:r>
        <w:rPr>
          <w:color w:val="231F20"/>
          <w:spacing w:val="-1"/>
          <w:sz w:val="22"/>
          <w:szCs w:val="22"/>
        </w:rPr>
        <w:t>•    探讨信用风险缓释模型（</w:t>
      </w:r>
      <w:r>
        <w:rPr>
          <w:color w:val="231F20"/>
          <w:spacing w:val="-31"/>
          <w:sz w:val="22"/>
          <w:szCs w:val="22"/>
        </w:rPr>
        <w:t xml:space="preserve"> </w:t>
      </w:r>
      <w:r>
        <w:rPr>
          <w:color w:val="231F20"/>
          <w:spacing w:val="-1"/>
          <w:sz w:val="22"/>
          <w:szCs w:val="22"/>
        </w:rPr>
        <w:t>CRM）</w:t>
      </w:r>
    </w:p>
    <w:p w14:paraId="2CA1C40E">
      <w:pPr>
        <w:pStyle w:val="2"/>
        <w:spacing w:line="209" w:lineRule="auto"/>
        <w:ind w:left="30"/>
        <w:rPr>
          <w:sz w:val="22"/>
          <w:szCs w:val="22"/>
        </w:rPr>
      </w:pPr>
      <w:r>
        <w:rPr>
          <w:color w:val="231F20"/>
          <w:spacing w:val="1"/>
          <w:sz w:val="22"/>
          <w:szCs w:val="22"/>
        </w:rPr>
        <w:t>•    描述交易对手信用风险（</w:t>
      </w:r>
      <w:r>
        <w:rPr>
          <w:color w:val="231F20"/>
          <w:spacing w:val="-30"/>
          <w:sz w:val="22"/>
          <w:szCs w:val="22"/>
        </w:rPr>
        <w:t xml:space="preserve"> </w:t>
      </w:r>
      <w:r>
        <w:rPr>
          <w:color w:val="231F20"/>
          <w:sz w:val="22"/>
          <w:szCs w:val="22"/>
        </w:rPr>
        <w:t>CCR</w:t>
      </w:r>
      <w:r>
        <w:rPr>
          <w:color w:val="231F20"/>
          <w:spacing w:val="1"/>
          <w:sz w:val="22"/>
          <w:szCs w:val="22"/>
        </w:rPr>
        <w:t>）的标</w:t>
      </w:r>
      <w:r>
        <w:rPr>
          <w:color w:val="231F20"/>
          <w:sz w:val="22"/>
          <w:szCs w:val="22"/>
        </w:rPr>
        <w:t>准法（</w:t>
      </w:r>
      <w:r>
        <w:rPr>
          <w:color w:val="231F20"/>
          <w:spacing w:val="-27"/>
          <w:sz w:val="22"/>
          <w:szCs w:val="22"/>
        </w:rPr>
        <w:t xml:space="preserve"> </w:t>
      </w:r>
      <w:r>
        <w:rPr>
          <w:color w:val="231F20"/>
          <w:sz w:val="22"/>
          <w:szCs w:val="22"/>
        </w:rPr>
        <w:t>SA）</w:t>
      </w:r>
    </w:p>
    <w:p w14:paraId="016932B0">
      <w:pPr>
        <w:pStyle w:val="2"/>
        <w:spacing w:before="1" w:line="221" w:lineRule="auto"/>
        <w:ind w:left="30"/>
        <w:rPr>
          <w:sz w:val="22"/>
          <w:szCs w:val="22"/>
        </w:rPr>
      </w:pPr>
      <w:r>
        <w:rPr>
          <w:color w:val="231F20"/>
          <w:sz w:val="22"/>
          <w:szCs w:val="22"/>
        </w:rPr>
        <w:t>•    区分交易对手信用风险（</w:t>
      </w:r>
      <w:r>
        <w:rPr>
          <w:color w:val="231F20"/>
          <w:spacing w:val="-26"/>
          <w:sz w:val="22"/>
          <w:szCs w:val="22"/>
        </w:rPr>
        <w:t xml:space="preserve"> </w:t>
      </w:r>
      <w:r>
        <w:rPr>
          <w:color w:val="231F20"/>
          <w:sz w:val="22"/>
          <w:szCs w:val="22"/>
        </w:rPr>
        <w:t>CCR）的标准法（</w:t>
      </w:r>
      <w:r>
        <w:rPr>
          <w:color w:val="231F20"/>
          <w:spacing w:val="-31"/>
          <w:sz w:val="22"/>
          <w:szCs w:val="22"/>
        </w:rPr>
        <w:t xml:space="preserve"> </w:t>
      </w:r>
      <w:r>
        <w:rPr>
          <w:color w:val="231F20"/>
          <w:sz w:val="22"/>
          <w:szCs w:val="22"/>
        </w:rPr>
        <w:t>SA）与内部模型法（IMM）</w:t>
      </w:r>
    </w:p>
    <w:p w14:paraId="2A0ADE66">
      <w:pPr>
        <w:pStyle w:val="2"/>
        <w:spacing w:before="25" w:line="183" w:lineRule="auto"/>
        <w:ind w:left="30"/>
        <w:rPr>
          <w:sz w:val="22"/>
          <w:szCs w:val="22"/>
        </w:rPr>
      </w:pPr>
      <w:r>
        <w:rPr>
          <w:color w:val="231F20"/>
          <w:spacing w:val="-4"/>
          <w:sz w:val="22"/>
          <w:szCs w:val="22"/>
        </w:rPr>
        <w:t>•</w:t>
      </w:r>
      <w:r>
        <w:rPr>
          <w:color w:val="231F20"/>
          <w:spacing w:val="9"/>
          <w:sz w:val="22"/>
          <w:szCs w:val="22"/>
        </w:rPr>
        <w:t xml:space="preserve">    </w:t>
      </w:r>
      <w:r>
        <w:rPr>
          <w:color w:val="231F20"/>
          <w:spacing w:val="-4"/>
          <w:sz w:val="22"/>
          <w:szCs w:val="22"/>
        </w:rPr>
        <w:t>说明杠杆贷款的特征和风险</w:t>
      </w:r>
    </w:p>
    <w:p w14:paraId="776AE91C">
      <w:pPr>
        <w:pStyle w:val="2"/>
        <w:spacing w:before="41" w:line="183" w:lineRule="auto"/>
        <w:ind w:left="30"/>
        <w:rPr>
          <w:sz w:val="22"/>
          <w:szCs w:val="22"/>
        </w:rPr>
      </w:pPr>
      <w:r>
        <w:rPr>
          <w:color w:val="231F20"/>
          <w:spacing w:val="-4"/>
          <w:sz w:val="22"/>
          <w:szCs w:val="22"/>
        </w:rPr>
        <w:t>•</w:t>
      </w:r>
      <w:r>
        <w:rPr>
          <w:color w:val="231F20"/>
          <w:spacing w:val="9"/>
          <w:sz w:val="22"/>
          <w:szCs w:val="22"/>
        </w:rPr>
        <w:t xml:space="preserve">    </w:t>
      </w:r>
      <w:r>
        <w:rPr>
          <w:color w:val="231F20"/>
          <w:spacing w:val="-4"/>
          <w:sz w:val="22"/>
          <w:szCs w:val="22"/>
        </w:rPr>
        <w:t>描述压力测试的不同种类</w:t>
      </w:r>
    </w:p>
    <w:p w14:paraId="001FCD25">
      <w:pPr>
        <w:pStyle w:val="2"/>
        <w:spacing w:before="39" w:line="184" w:lineRule="auto"/>
        <w:ind w:left="30"/>
        <w:rPr>
          <w:sz w:val="22"/>
          <w:szCs w:val="22"/>
        </w:rPr>
      </w:pPr>
      <w:r>
        <w:rPr>
          <w:color w:val="231F20"/>
          <w:spacing w:val="-1"/>
          <w:sz w:val="22"/>
          <w:szCs w:val="22"/>
        </w:rPr>
        <w:t>•    评估全球监管压力测试要求之间的区别</w:t>
      </w:r>
    </w:p>
    <w:p w14:paraId="3542AA1C">
      <w:pPr>
        <w:pStyle w:val="2"/>
        <w:spacing w:before="64" w:line="185" w:lineRule="auto"/>
        <w:ind w:left="30"/>
        <w:rPr>
          <w:sz w:val="22"/>
          <w:szCs w:val="22"/>
        </w:rPr>
      </w:pPr>
      <w:r>
        <w:rPr>
          <w:color w:val="231F20"/>
          <w:spacing w:val="-1"/>
          <w:sz w:val="22"/>
          <w:szCs w:val="22"/>
        </w:rPr>
        <w:t>•    说明全球监管机构之间的方式差异</w:t>
      </w:r>
    </w:p>
    <w:p w14:paraId="4F410BBB">
      <w:pPr>
        <w:spacing w:line="309" w:lineRule="auto"/>
        <w:rPr>
          <w:rFonts w:ascii="Arial"/>
          <w:sz w:val="21"/>
        </w:rPr>
      </w:pPr>
    </w:p>
    <w:p w14:paraId="2DA76843">
      <w:pPr>
        <w:spacing w:line="309" w:lineRule="auto"/>
        <w:rPr>
          <w:rFonts w:ascii="Arial"/>
          <w:sz w:val="21"/>
        </w:rPr>
      </w:pPr>
      <w:r>
        <w:rPr>
          <w:rFonts w:hint="eastAsia" w:ascii="微软雅黑" w:hAnsi="微软雅黑" w:eastAsia="微软雅黑" w:cs="微软雅黑"/>
          <w:sz w:val="71"/>
          <w:szCs w:val="71"/>
          <w:lang w:eastAsia="zh-CN"/>
        </w:rPr>
        <w:drawing>
          <wp:anchor distT="0" distB="0" distL="114300" distR="114300" simplePos="0" relativeHeight="251700224" behindDoc="0" locked="0" layoutInCell="1" allowOverlap="1">
            <wp:simplePos x="0" y="0"/>
            <wp:positionH relativeFrom="column">
              <wp:posOffset>-712470</wp:posOffset>
            </wp:positionH>
            <wp:positionV relativeFrom="paragraph">
              <wp:posOffset>264795</wp:posOffset>
            </wp:positionV>
            <wp:extent cx="6795770" cy="384810"/>
            <wp:effectExtent l="0" t="0" r="1270" b="11430"/>
            <wp:wrapNone/>
            <wp:docPr id="19" name="图片 19" descr="文字文稿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文字文稿1_01"/>
                    <pic:cNvPicPr>
                      <a:picLocks noChangeAspect="1"/>
                    </pic:cNvPicPr>
                  </pic:nvPicPr>
                  <pic:blipFill>
                    <a:blip r:embed="rId36">
                      <a:lum contrast="6000"/>
                    </a:blip>
                    <a:srcRect t="96008"/>
                    <a:stretch>
                      <a:fillRect/>
                    </a:stretch>
                  </pic:blipFill>
                  <pic:spPr>
                    <a:xfrm>
                      <a:off x="0" y="0"/>
                      <a:ext cx="6795770" cy="384810"/>
                    </a:xfrm>
                    <a:prstGeom prst="rect">
                      <a:avLst/>
                    </a:prstGeom>
                  </pic:spPr>
                </pic:pic>
              </a:graphicData>
            </a:graphic>
          </wp:anchor>
        </w:drawing>
      </w:r>
    </w:p>
    <w:p w14:paraId="0C99B9B9">
      <w:pPr>
        <w:pStyle w:val="2"/>
        <w:spacing w:before="78" w:line="173" w:lineRule="auto"/>
        <w:jc w:val="center"/>
        <w:rPr>
          <w:sz w:val="18"/>
          <w:szCs w:val="18"/>
        </w:rPr>
      </w:pPr>
      <w:r>
        <w:pict>
          <v:shape id="_x0000_s1030" o:spid="_x0000_s1030" o:spt="202" type="#_x0000_t202" style="position:absolute;left:0pt;margin-left:35.75pt;margin-top:2.85pt;height:16.5pt;width:150.4pt;z-index:251672576;mso-width-relative:page;mso-height-relative:page;" filled="f" stroked="f" coordsize="21600,21600">
            <v:path/>
            <v:fill on="f" focussize="0,0"/>
            <v:stroke on="f"/>
            <v:imagedata o:title=""/>
            <o:lock v:ext="edit" aspectratio="f"/>
            <v:textbox inset="0mm,0mm,0mm,0mm">
              <w:txbxContent>
                <w:p w14:paraId="42256895">
                  <w:pPr>
                    <w:pStyle w:val="2"/>
                    <w:spacing w:before="19" w:line="225" w:lineRule="auto"/>
                    <w:ind w:left="20"/>
                    <w:rPr>
                      <w:sz w:val="18"/>
                      <w:szCs w:val="18"/>
                    </w:rPr>
                  </w:pPr>
                </w:p>
              </w:txbxContent>
            </v:textbox>
          </v:shape>
        </w:pict>
      </w:r>
      <w:r>
        <w:pict>
          <v:shape id="_x0000_s1031" o:spid="_x0000_s1031" o:spt="202" type="#_x0000_t202" style="position:absolute;left:0pt;margin-left:342.85pt;margin-top:2.85pt;height:17.65pt;width:62.1pt;z-index:251674624;mso-width-relative:page;mso-height-relative:page;" filled="f" stroked="f" coordsize="21600,21600">
            <v:path/>
            <v:fill on="f" focussize="0,0"/>
            <v:stroke on="f"/>
            <v:imagedata o:title=""/>
            <o:lock v:ext="edit" aspectratio="f"/>
            <v:textbox inset="0mm,0mm,0mm,0mm">
              <w:txbxContent>
                <w:p w14:paraId="67715024">
                  <w:pPr>
                    <w:pStyle w:val="2"/>
                    <w:spacing w:before="20" w:line="312" w:lineRule="exact"/>
                    <w:rPr>
                      <w:sz w:val="18"/>
                      <w:szCs w:val="18"/>
                    </w:rPr>
                  </w:pPr>
                </w:p>
              </w:txbxContent>
            </v:textbox>
          </v:shape>
        </w:pict>
      </w:r>
    </w:p>
    <w:p w14:paraId="0547E491">
      <w:pPr>
        <w:spacing w:line="173" w:lineRule="auto"/>
        <w:rPr>
          <w:sz w:val="18"/>
          <w:szCs w:val="18"/>
        </w:rPr>
        <w:sectPr>
          <w:pgSz w:w="10660" w:h="15081"/>
          <w:pgMar w:top="1271" w:right="1335" w:bottom="36" w:left="1139" w:header="0" w:footer="0" w:gutter="0"/>
          <w:cols w:space="720" w:num="1"/>
        </w:sectPr>
      </w:pPr>
    </w:p>
    <w:p w14:paraId="49EF869F">
      <w:pPr>
        <w:pStyle w:val="2"/>
        <w:spacing w:before="287" w:line="186" w:lineRule="auto"/>
        <w:ind w:left="12"/>
        <w:rPr>
          <w:sz w:val="49"/>
          <w:szCs w:val="49"/>
        </w:rPr>
      </w:pPr>
      <w:r>
        <w:rPr>
          <w:color w:val="7F7F7F"/>
          <w:spacing w:val="4"/>
          <w:sz w:val="49"/>
          <w:szCs w:val="49"/>
        </w:rPr>
        <w:t>市场风险管理</w:t>
      </w:r>
    </w:p>
    <w:p w14:paraId="1E0CF904">
      <w:pPr>
        <w:pStyle w:val="2"/>
        <w:spacing w:before="114" w:line="210" w:lineRule="auto"/>
        <w:ind w:left="1"/>
        <w:rPr>
          <w:sz w:val="28"/>
          <w:szCs w:val="28"/>
        </w:rPr>
      </w:pPr>
      <w:r>
        <w:rPr>
          <w:color w:val="231F20"/>
          <w:spacing w:val="-2"/>
          <w:sz w:val="28"/>
          <w:szCs w:val="28"/>
        </w:rPr>
        <w:t>考试内容占比</w:t>
      </w:r>
      <w:r>
        <w:rPr>
          <w:color w:val="231F20"/>
          <w:spacing w:val="39"/>
          <w:sz w:val="28"/>
          <w:szCs w:val="28"/>
        </w:rPr>
        <w:t xml:space="preserve"> </w:t>
      </w:r>
      <w:r>
        <w:rPr>
          <w:color w:val="231F20"/>
          <w:spacing w:val="-2"/>
          <w:sz w:val="28"/>
          <w:szCs w:val="28"/>
        </w:rPr>
        <w:t>|</w:t>
      </w:r>
      <w:r>
        <w:rPr>
          <w:color w:val="231F20"/>
          <w:spacing w:val="29"/>
          <w:sz w:val="28"/>
          <w:szCs w:val="28"/>
        </w:rPr>
        <w:t xml:space="preserve"> </w:t>
      </w:r>
      <w:r>
        <w:rPr>
          <w:color w:val="F05124"/>
          <w:spacing w:val="-2"/>
          <w:sz w:val="28"/>
          <w:szCs w:val="28"/>
        </w:rPr>
        <w:t>30%</w:t>
      </w:r>
    </w:p>
    <w:p w14:paraId="2D8F032A">
      <w:pPr>
        <w:pStyle w:val="2"/>
        <w:spacing w:before="311" w:line="184" w:lineRule="auto"/>
        <w:rPr>
          <w:sz w:val="22"/>
          <w:szCs w:val="22"/>
        </w:rPr>
      </w:pPr>
      <w:r>
        <w:rPr>
          <w:color w:val="231F20"/>
          <w:spacing w:val="-3"/>
          <w:sz w:val="22"/>
          <w:szCs w:val="22"/>
        </w:rPr>
        <w:t>您应在这一部分中重点阅读与学习的内容</w:t>
      </w:r>
      <w:r>
        <w:rPr>
          <w:color w:val="231F20"/>
          <w:spacing w:val="-32"/>
          <w:sz w:val="22"/>
          <w:szCs w:val="22"/>
        </w:rPr>
        <w:t xml:space="preserve"> </w:t>
      </w:r>
      <w:r>
        <w:rPr>
          <w:color w:val="231F20"/>
          <w:spacing w:val="-3"/>
          <w:sz w:val="22"/>
          <w:szCs w:val="22"/>
        </w:rPr>
        <w:t>，以及应达到的具体学习目标：</w:t>
      </w:r>
    </w:p>
    <w:p w14:paraId="367BF556">
      <w:pPr>
        <w:pStyle w:val="2"/>
        <w:spacing w:before="336" w:line="184" w:lineRule="auto"/>
        <w:rPr>
          <w:sz w:val="24"/>
          <w:szCs w:val="24"/>
        </w:rPr>
      </w:pPr>
      <w:r>
        <w:rPr>
          <w:color w:val="231F20"/>
          <w:spacing w:val="-3"/>
          <w:sz w:val="24"/>
          <w:szCs w:val="24"/>
        </w:rPr>
        <w:t>第一章</w:t>
      </w:r>
      <w:r>
        <w:rPr>
          <w:color w:val="231F20"/>
          <w:spacing w:val="18"/>
          <w:sz w:val="24"/>
          <w:szCs w:val="24"/>
        </w:rPr>
        <w:t xml:space="preserve">   </w:t>
      </w:r>
      <w:r>
        <w:rPr>
          <w:color w:val="231F20"/>
          <w:spacing w:val="-3"/>
          <w:sz w:val="24"/>
          <w:szCs w:val="24"/>
        </w:rPr>
        <w:t>市场风险管理概述</w:t>
      </w:r>
    </w:p>
    <w:p w14:paraId="4023F8B7">
      <w:pPr>
        <w:pStyle w:val="2"/>
        <w:spacing w:before="84" w:line="185" w:lineRule="auto"/>
        <w:ind w:left="2"/>
        <w:rPr>
          <w:sz w:val="22"/>
          <w:szCs w:val="22"/>
        </w:rPr>
      </w:pPr>
      <w:r>
        <w:rPr>
          <w:color w:val="231F20"/>
          <w:spacing w:val="-5"/>
          <w:sz w:val="22"/>
          <w:szCs w:val="22"/>
        </w:rPr>
        <w:t>完成本章阅读与学习后</w:t>
      </w:r>
      <w:r>
        <w:rPr>
          <w:color w:val="231F20"/>
          <w:spacing w:val="-25"/>
          <w:sz w:val="22"/>
          <w:szCs w:val="22"/>
        </w:rPr>
        <w:t xml:space="preserve"> </w:t>
      </w:r>
      <w:r>
        <w:rPr>
          <w:color w:val="231F20"/>
          <w:spacing w:val="-5"/>
          <w:sz w:val="22"/>
          <w:szCs w:val="22"/>
        </w:rPr>
        <w:t>，您应具备以下能力：</w:t>
      </w:r>
    </w:p>
    <w:p w14:paraId="280258C5">
      <w:pPr>
        <w:pStyle w:val="2"/>
        <w:spacing w:before="34" w:line="190" w:lineRule="auto"/>
        <w:ind w:left="15"/>
      </w:pPr>
      <w:r>
        <w:rPr>
          <w:color w:val="231F20"/>
          <w:spacing w:val="4"/>
        </w:rPr>
        <w:t>•</w:t>
      </w:r>
      <w:r>
        <w:rPr>
          <w:color w:val="231F20"/>
          <w:spacing w:val="11"/>
        </w:rPr>
        <w:t xml:space="preserve">    </w:t>
      </w:r>
      <w:r>
        <w:rPr>
          <w:color w:val="231F20"/>
          <w:spacing w:val="4"/>
        </w:rPr>
        <w:t>提供市场风险的定义</w:t>
      </w:r>
    </w:p>
    <w:p w14:paraId="0479265D">
      <w:pPr>
        <w:pStyle w:val="2"/>
        <w:spacing w:before="50" w:line="190" w:lineRule="auto"/>
        <w:ind w:left="15"/>
      </w:pPr>
      <w:r>
        <w:rPr>
          <w:color w:val="231F20"/>
          <w:spacing w:val="3"/>
        </w:rPr>
        <w:t>•     阐明隐含波动率价格风险</w:t>
      </w:r>
    </w:p>
    <w:p w14:paraId="76D8D3B8">
      <w:pPr>
        <w:pStyle w:val="2"/>
        <w:spacing w:before="49" w:line="189" w:lineRule="auto"/>
        <w:ind w:left="15"/>
      </w:pPr>
      <w:r>
        <w:rPr>
          <w:color w:val="231F20"/>
          <w:spacing w:val="4"/>
        </w:rPr>
        <w:t>•</w:t>
      </w:r>
      <w:r>
        <w:rPr>
          <w:color w:val="231F20"/>
          <w:spacing w:val="11"/>
        </w:rPr>
        <w:t xml:space="preserve">    </w:t>
      </w:r>
      <w:r>
        <w:rPr>
          <w:color w:val="231F20"/>
          <w:spacing w:val="4"/>
        </w:rPr>
        <w:t>解释隐含相关性风险</w:t>
      </w:r>
    </w:p>
    <w:p w14:paraId="6DEA78E8">
      <w:pPr>
        <w:pStyle w:val="2"/>
        <w:spacing w:before="71" w:line="183" w:lineRule="auto"/>
        <w:ind w:left="15"/>
      </w:pPr>
      <w:r>
        <w:rPr>
          <w:color w:val="231F20"/>
          <w:spacing w:val="8"/>
          <w:position w:val="1"/>
        </w:rPr>
        <w:t xml:space="preserve">•    </w:t>
      </w:r>
      <w:r>
        <w:rPr>
          <w:color w:val="231F20"/>
          <w:spacing w:val="8"/>
        </w:rPr>
        <w:t>描述巴塞尔协议Ⅲ的最终方案对市场风险管理的影响</w:t>
      </w:r>
    </w:p>
    <w:p w14:paraId="64D35BF7">
      <w:pPr>
        <w:pStyle w:val="2"/>
        <w:spacing w:before="199" w:line="184" w:lineRule="auto"/>
        <w:rPr>
          <w:sz w:val="24"/>
          <w:szCs w:val="24"/>
        </w:rPr>
      </w:pPr>
      <w:r>
        <w:rPr>
          <w:color w:val="231F20"/>
          <w:spacing w:val="-1"/>
          <w:sz w:val="24"/>
          <w:szCs w:val="24"/>
        </w:rPr>
        <w:t>第二章</w:t>
      </w:r>
      <w:r>
        <w:rPr>
          <w:color w:val="231F20"/>
          <w:spacing w:val="11"/>
          <w:sz w:val="24"/>
          <w:szCs w:val="24"/>
        </w:rPr>
        <w:t xml:space="preserve">   </w:t>
      </w:r>
      <w:r>
        <w:rPr>
          <w:color w:val="231F20"/>
          <w:spacing w:val="-1"/>
          <w:sz w:val="24"/>
          <w:szCs w:val="24"/>
        </w:rPr>
        <w:t>外汇市场、工具和风险</w:t>
      </w:r>
    </w:p>
    <w:p w14:paraId="51B80FD2">
      <w:pPr>
        <w:pStyle w:val="2"/>
        <w:spacing w:before="84" w:line="185" w:lineRule="auto"/>
        <w:ind w:left="2"/>
        <w:rPr>
          <w:sz w:val="22"/>
          <w:szCs w:val="22"/>
        </w:rPr>
      </w:pPr>
      <w:r>
        <w:rPr>
          <w:color w:val="231F20"/>
          <w:spacing w:val="-5"/>
          <w:sz w:val="22"/>
          <w:szCs w:val="22"/>
        </w:rPr>
        <w:t>完成本章阅读与学习后</w:t>
      </w:r>
      <w:r>
        <w:rPr>
          <w:color w:val="231F20"/>
          <w:spacing w:val="-25"/>
          <w:sz w:val="22"/>
          <w:szCs w:val="22"/>
        </w:rPr>
        <w:t xml:space="preserve"> </w:t>
      </w:r>
      <w:r>
        <w:rPr>
          <w:color w:val="231F20"/>
          <w:spacing w:val="-5"/>
          <w:sz w:val="22"/>
          <w:szCs w:val="22"/>
        </w:rPr>
        <w:t>，您应具备以下能力：</w:t>
      </w:r>
    </w:p>
    <w:p w14:paraId="6E6A2C5F">
      <w:pPr>
        <w:pStyle w:val="2"/>
        <w:spacing w:before="39" w:line="190" w:lineRule="auto"/>
        <w:ind w:left="15"/>
      </w:pPr>
      <w:r>
        <w:rPr>
          <w:color w:val="231F20"/>
          <w:spacing w:val="5"/>
        </w:rPr>
        <w:t>•</w:t>
      </w:r>
      <w:r>
        <w:rPr>
          <w:color w:val="231F20"/>
          <w:spacing w:val="11"/>
        </w:rPr>
        <w:t xml:space="preserve">    </w:t>
      </w:r>
      <w:r>
        <w:rPr>
          <w:color w:val="231F20"/>
          <w:spacing w:val="5"/>
        </w:rPr>
        <w:t>说明外汇汇率的驱动因素</w:t>
      </w:r>
    </w:p>
    <w:p w14:paraId="59921841">
      <w:pPr>
        <w:pStyle w:val="2"/>
        <w:spacing w:before="57" w:line="183" w:lineRule="auto"/>
        <w:ind w:left="15"/>
      </w:pPr>
      <w:r>
        <w:rPr>
          <w:color w:val="231F20"/>
          <w:spacing w:val="6"/>
          <w:position w:val="1"/>
        </w:rPr>
        <w:t>•</w:t>
      </w:r>
      <w:r>
        <w:rPr>
          <w:color w:val="231F20"/>
          <w:spacing w:val="10"/>
          <w:position w:val="1"/>
        </w:rPr>
        <w:t xml:space="preserve">    </w:t>
      </w:r>
      <w:r>
        <w:rPr>
          <w:color w:val="231F20"/>
          <w:spacing w:val="6"/>
        </w:rPr>
        <w:t>计算交叉货币即期合约的定价</w:t>
      </w:r>
    </w:p>
    <w:p w14:paraId="748340DE">
      <w:pPr>
        <w:pStyle w:val="2"/>
        <w:spacing w:before="49" w:line="189" w:lineRule="auto"/>
        <w:ind w:left="15"/>
      </w:pPr>
      <w:r>
        <w:rPr>
          <w:color w:val="231F20"/>
          <w:spacing w:val="5"/>
        </w:rPr>
        <w:t>•</w:t>
      </w:r>
      <w:r>
        <w:rPr>
          <w:color w:val="231F20"/>
          <w:spacing w:val="11"/>
        </w:rPr>
        <w:t xml:space="preserve">    </w:t>
      </w:r>
      <w:r>
        <w:rPr>
          <w:color w:val="231F20"/>
          <w:spacing w:val="5"/>
        </w:rPr>
        <w:t>计算外汇远期合约的定价</w:t>
      </w:r>
    </w:p>
    <w:p w14:paraId="4CDF00C6">
      <w:pPr>
        <w:pStyle w:val="2"/>
        <w:spacing w:before="50" w:line="190" w:lineRule="auto"/>
        <w:ind w:left="15"/>
      </w:pPr>
      <w:r>
        <w:rPr>
          <w:color w:val="231F20"/>
          <w:spacing w:val="5"/>
        </w:rPr>
        <w:t>•</w:t>
      </w:r>
      <w:r>
        <w:rPr>
          <w:color w:val="231F20"/>
          <w:spacing w:val="11"/>
        </w:rPr>
        <w:t xml:space="preserve">    </w:t>
      </w:r>
      <w:r>
        <w:rPr>
          <w:color w:val="231F20"/>
          <w:spacing w:val="5"/>
        </w:rPr>
        <w:t>概述外汇远期的市场风险</w:t>
      </w:r>
    </w:p>
    <w:p w14:paraId="4642F525">
      <w:pPr>
        <w:pStyle w:val="2"/>
        <w:spacing w:before="57" w:line="190" w:lineRule="auto"/>
        <w:ind w:left="15"/>
      </w:pPr>
      <w:r>
        <w:rPr>
          <w:color w:val="231F20"/>
          <w:spacing w:val="7"/>
        </w:rPr>
        <w:t>•    描述货币远期和货币期货的差异</w:t>
      </w:r>
    </w:p>
    <w:p w14:paraId="0E26C7D8">
      <w:pPr>
        <w:pStyle w:val="2"/>
        <w:spacing w:before="59" w:line="189" w:lineRule="auto"/>
        <w:ind w:left="15"/>
      </w:pPr>
      <w:r>
        <w:rPr>
          <w:color w:val="231F20"/>
          <w:spacing w:val="6"/>
        </w:rPr>
        <w:t>•</w:t>
      </w:r>
      <w:r>
        <w:rPr>
          <w:color w:val="231F20"/>
          <w:spacing w:val="10"/>
        </w:rPr>
        <w:t xml:space="preserve">    </w:t>
      </w:r>
      <w:r>
        <w:rPr>
          <w:color w:val="231F20"/>
          <w:spacing w:val="6"/>
        </w:rPr>
        <w:t>说明衍生品合约的特征和优点</w:t>
      </w:r>
    </w:p>
    <w:p w14:paraId="5ECFDFBF">
      <w:pPr>
        <w:pStyle w:val="2"/>
        <w:spacing w:before="50" w:line="190" w:lineRule="auto"/>
        <w:ind w:left="15"/>
      </w:pPr>
      <w:r>
        <w:rPr>
          <w:color w:val="231F20"/>
          <w:spacing w:val="4"/>
        </w:rPr>
        <w:t>•</w:t>
      </w:r>
      <w:r>
        <w:rPr>
          <w:color w:val="231F20"/>
          <w:spacing w:val="11"/>
        </w:rPr>
        <w:t xml:space="preserve">    </w:t>
      </w:r>
      <w:r>
        <w:rPr>
          <w:color w:val="231F20"/>
          <w:spacing w:val="4"/>
        </w:rPr>
        <w:t>描述货币互换的要素</w:t>
      </w:r>
    </w:p>
    <w:p w14:paraId="5684618B">
      <w:pPr>
        <w:pStyle w:val="2"/>
        <w:spacing w:before="59" w:line="183" w:lineRule="auto"/>
        <w:ind w:left="15"/>
      </w:pPr>
      <w:r>
        <w:rPr>
          <w:color w:val="231F20"/>
          <w:spacing w:val="6"/>
          <w:position w:val="1"/>
        </w:rPr>
        <w:t>•</w:t>
      </w:r>
      <w:r>
        <w:rPr>
          <w:color w:val="231F20"/>
          <w:spacing w:val="10"/>
          <w:position w:val="1"/>
        </w:rPr>
        <w:t xml:space="preserve">    </w:t>
      </w:r>
      <w:r>
        <w:rPr>
          <w:color w:val="231F20"/>
          <w:spacing w:val="6"/>
        </w:rPr>
        <w:t>说明市场期权定价的决定因素</w:t>
      </w:r>
    </w:p>
    <w:p w14:paraId="0510D977">
      <w:pPr>
        <w:pStyle w:val="2"/>
        <w:spacing w:before="47" w:line="189" w:lineRule="auto"/>
        <w:ind w:left="15"/>
      </w:pPr>
      <w:r>
        <w:rPr>
          <w:color w:val="231F20"/>
          <w:spacing w:val="4"/>
        </w:rPr>
        <w:t>•</w:t>
      </w:r>
      <w:r>
        <w:rPr>
          <w:color w:val="231F20"/>
          <w:spacing w:val="13"/>
        </w:rPr>
        <w:t xml:space="preserve">    </w:t>
      </w:r>
      <w:r>
        <w:rPr>
          <w:color w:val="231F20"/>
          <w:spacing w:val="4"/>
        </w:rPr>
        <w:t>评估期权交易中的风险</w:t>
      </w:r>
    </w:p>
    <w:p w14:paraId="118E5A68">
      <w:pPr>
        <w:pStyle w:val="2"/>
        <w:spacing w:before="51" w:line="189" w:lineRule="auto"/>
        <w:ind w:left="15"/>
      </w:pPr>
      <w:r>
        <w:rPr>
          <w:color w:val="231F20"/>
          <w:spacing w:val="4"/>
        </w:rPr>
        <w:t>•</w:t>
      </w:r>
      <w:r>
        <w:rPr>
          <w:color w:val="231F20"/>
          <w:spacing w:val="11"/>
        </w:rPr>
        <w:t xml:space="preserve">    </w:t>
      </w:r>
      <w:r>
        <w:rPr>
          <w:color w:val="231F20"/>
          <w:spacing w:val="4"/>
        </w:rPr>
        <w:t>识别不同的奇异期权</w:t>
      </w:r>
    </w:p>
    <w:p w14:paraId="7449296C">
      <w:pPr>
        <w:pStyle w:val="2"/>
        <w:spacing w:before="61" w:line="189" w:lineRule="auto"/>
        <w:ind w:left="15"/>
      </w:pPr>
      <w:r>
        <w:rPr>
          <w:color w:val="231F20"/>
          <w:spacing w:val="5"/>
        </w:rPr>
        <w:t>•</w:t>
      </w:r>
      <w:r>
        <w:rPr>
          <w:color w:val="231F20"/>
          <w:spacing w:val="11"/>
        </w:rPr>
        <w:t xml:space="preserve">    </w:t>
      </w:r>
      <w:r>
        <w:rPr>
          <w:color w:val="231F20"/>
          <w:spacing w:val="5"/>
        </w:rPr>
        <w:t>推断奇异期权的交易风险</w:t>
      </w:r>
    </w:p>
    <w:p w14:paraId="56E39C10">
      <w:pPr>
        <w:spacing w:line="299" w:lineRule="auto"/>
        <w:rPr>
          <w:rFonts w:ascii="Arial"/>
          <w:sz w:val="21"/>
        </w:rPr>
      </w:pPr>
    </w:p>
    <w:p w14:paraId="0ED6504B">
      <w:pPr>
        <w:pStyle w:val="2"/>
        <w:spacing w:before="104" w:line="184" w:lineRule="auto"/>
        <w:rPr>
          <w:sz w:val="24"/>
          <w:szCs w:val="24"/>
        </w:rPr>
      </w:pPr>
      <w:r>
        <w:rPr>
          <w:color w:val="231F20"/>
          <w:spacing w:val="-2"/>
          <w:sz w:val="24"/>
          <w:szCs w:val="24"/>
        </w:rPr>
        <w:t>第三章</w:t>
      </w:r>
      <w:r>
        <w:rPr>
          <w:color w:val="231F20"/>
          <w:spacing w:val="15"/>
          <w:sz w:val="24"/>
          <w:szCs w:val="24"/>
        </w:rPr>
        <w:t xml:space="preserve">   </w:t>
      </w:r>
      <w:r>
        <w:rPr>
          <w:color w:val="231F20"/>
          <w:spacing w:val="-2"/>
          <w:sz w:val="24"/>
          <w:szCs w:val="24"/>
        </w:rPr>
        <w:t>利率市场、工具和风险</w:t>
      </w:r>
    </w:p>
    <w:p w14:paraId="7A59AAAB">
      <w:pPr>
        <w:pStyle w:val="2"/>
        <w:spacing w:before="84" w:line="185" w:lineRule="auto"/>
        <w:ind w:left="2"/>
        <w:rPr>
          <w:sz w:val="22"/>
          <w:szCs w:val="22"/>
        </w:rPr>
      </w:pPr>
      <w:r>
        <w:rPr>
          <w:color w:val="231F20"/>
          <w:spacing w:val="-5"/>
          <w:sz w:val="22"/>
          <w:szCs w:val="22"/>
        </w:rPr>
        <w:t>完成本章阅读与学习后</w:t>
      </w:r>
      <w:r>
        <w:rPr>
          <w:color w:val="231F20"/>
          <w:spacing w:val="-25"/>
          <w:sz w:val="22"/>
          <w:szCs w:val="22"/>
        </w:rPr>
        <w:t xml:space="preserve"> </w:t>
      </w:r>
      <w:r>
        <w:rPr>
          <w:color w:val="231F20"/>
          <w:spacing w:val="-5"/>
          <w:sz w:val="22"/>
          <w:szCs w:val="22"/>
        </w:rPr>
        <w:t>，您应具备以下能力：</w:t>
      </w:r>
    </w:p>
    <w:p w14:paraId="337DE79E">
      <w:pPr>
        <w:pStyle w:val="2"/>
        <w:spacing w:before="47" w:line="190" w:lineRule="auto"/>
        <w:ind w:left="29"/>
      </w:pPr>
      <w:r>
        <w:rPr>
          <w:color w:val="231F20"/>
          <w:spacing w:val="7"/>
        </w:rPr>
        <w:t>•    描述银行间市场贷款与存款的利率设定标准</w:t>
      </w:r>
    </w:p>
    <w:p w14:paraId="55111B58">
      <w:pPr>
        <w:pStyle w:val="2"/>
        <w:spacing w:before="47" w:line="190" w:lineRule="auto"/>
        <w:ind w:left="29"/>
      </w:pPr>
      <w:r>
        <w:rPr>
          <w:color w:val="231F20"/>
          <w:spacing w:val="5"/>
        </w:rPr>
        <w:t>•</w:t>
      </w:r>
      <w:r>
        <w:rPr>
          <w:color w:val="231F20"/>
          <w:spacing w:val="11"/>
        </w:rPr>
        <w:t xml:space="preserve">    </w:t>
      </w:r>
      <w:r>
        <w:rPr>
          <w:color w:val="231F20"/>
          <w:spacing w:val="5"/>
        </w:rPr>
        <w:t>说明贷款和债券的利差</w:t>
      </w:r>
    </w:p>
    <w:p w14:paraId="1FDD91B1">
      <w:pPr>
        <w:pStyle w:val="2"/>
        <w:spacing w:before="52" w:line="189" w:lineRule="auto"/>
        <w:ind w:left="29"/>
      </w:pPr>
      <w:r>
        <w:rPr>
          <w:color w:val="231F20"/>
          <w:spacing w:val="4"/>
        </w:rPr>
        <w:t>•</w:t>
      </w:r>
      <w:r>
        <w:rPr>
          <w:color w:val="231F20"/>
          <w:spacing w:val="11"/>
        </w:rPr>
        <w:t xml:space="preserve">    </w:t>
      </w:r>
      <w:r>
        <w:rPr>
          <w:color w:val="231F20"/>
          <w:spacing w:val="4"/>
        </w:rPr>
        <w:t>辨别主要债券的分类</w:t>
      </w:r>
    </w:p>
    <w:p w14:paraId="12ED5E74">
      <w:pPr>
        <w:pStyle w:val="2"/>
        <w:spacing w:before="58" w:line="189" w:lineRule="auto"/>
        <w:ind w:left="29"/>
      </w:pPr>
      <w:r>
        <w:rPr>
          <w:color w:val="231F20"/>
          <w:spacing w:val="5"/>
        </w:rPr>
        <w:t>•</w:t>
      </w:r>
      <w:r>
        <w:rPr>
          <w:color w:val="231F20"/>
          <w:spacing w:val="12"/>
        </w:rPr>
        <w:t xml:space="preserve">    </w:t>
      </w:r>
      <w:r>
        <w:rPr>
          <w:color w:val="231F20"/>
          <w:spacing w:val="5"/>
        </w:rPr>
        <w:t>计算现金固定收益工具定价</w:t>
      </w:r>
    </w:p>
    <w:p w14:paraId="246C7B24">
      <w:pPr>
        <w:pStyle w:val="2"/>
        <w:spacing w:before="60" w:line="183" w:lineRule="auto"/>
        <w:ind w:left="29"/>
      </w:pPr>
      <w:r>
        <w:rPr>
          <w:color w:val="231F20"/>
          <w:spacing w:val="7"/>
          <w:position w:val="1"/>
        </w:rPr>
        <w:t xml:space="preserve">•    </w:t>
      </w:r>
      <w:r>
        <w:rPr>
          <w:color w:val="231F20"/>
          <w:spacing w:val="7"/>
        </w:rPr>
        <w:t>关联利率期限结构理论与市场定价动态</w:t>
      </w:r>
    </w:p>
    <w:p w14:paraId="3947FB01">
      <w:pPr>
        <w:pStyle w:val="2"/>
        <w:spacing w:before="57" w:line="190" w:lineRule="auto"/>
        <w:ind w:left="29"/>
      </w:pPr>
      <w:r>
        <w:rPr>
          <w:color w:val="231F20"/>
          <w:spacing w:val="5"/>
        </w:rPr>
        <w:t>•</w:t>
      </w:r>
      <w:r>
        <w:rPr>
          <w:color w:val="231F20"/>
          <w:spacing w:val="1"/>
        </w:rPr>
        <w:t xml:space="preserve">     </w:t>
      </w:r>
      <w:r>
        <w:rPr>
          <w:color w:val="231F20"/>
          <w:spacing w:val="5"/>
        </w:rPr>
        <w:t>比较主要利率驱动因子之间的影响</w:t>
      </w:r>
    </w:p>
    <w:p w14:paraId="2FC33C75">
      <w:pPr>
        <w:pStyle w:val="2"/>
        <w:spacing w:before="47" w:line="190" w:lineRule="auto"/>
        <w:ind w:left="29"/>
      </w:pPr>
      <w:r>
        <w:rPr>
          <w:color w:val="231F20"/>
          <w:spacing w:val="5"/>
        </w:rPr>
        <w:t>•</w:t>
      </w:r>
      <w:r>
        <w:rPr>
          <w:color w:val="231F20"/>
          <w:spacing w:val="11"/>
        </w:rPr>
        <w:t xml:space="preserve">    </w:t>
      </w:r>
      <w:r>
        <w:rPr>
          <w:color w:val="231F20"/>
          <w:spacing w:val="5"/>
        </w:rPr>
        <w:t>理解信用利差的驱动因子</w:t>
      </w:r>
    </w:p>
    <w:p w14:paraId="25EDB2C2">
      <w:pPr>
        <w:pStyle w:val="2"/>
        <w:spacing w:before="20" w:line="229" w:lineRule="auto"/>
        <w:ind w:left="29"/>
      </w:pPr>
      <w:r>
        <w:rPr>
          <w:color w:val="231F20"/>
          <w:spacing w:val="8"/>
        </w:rPr>
        <w:t>•    计算债券的基点现值（</w:t>
      </w:r>
      <w:r>
        <w:rPr>
          <w:color w:val="231F20"/>
          <w:spacing w:val="-5"/>
        </w:rPr>
        <w:t xml:space="preserve"> </w:t>
      </w:r>
      <w:r>
        <w:rPr>
          <w:color w:val="231F20"/>
        </w:rPr>
        <w:t>PVBP</w:t>
      </w:r>
      <w:r>
        <w:rPr>
          <w:color w:val="231F20"/>
          <w:spacing w:val="8"/>
        </w:rPr>
        <w:t>/</w:t>
      </w:r>
      <w:r>
        <w:rPr>
          <w:color w:val="231F20"/>
          <w:spacing w:val="-34"/>
        </w:rPr>
        <w:t xml:space="preserve"> </w:t>
      </w:r>
      <w:r>
        <w:rPr>
          <w:color w:val="231F20"/>
        </w:rPr>
        <w:t>PV</w:t>
      </w:r>
      <w:r>
        <w:rPr>
          <w:color w:val="231F20"/>
          <w:spacing w:val="8"/>
        </w:rPr>
        <w:t>01）</w:t>
      </w:r>
    </w:p>
    <w:p w14:paraId="18B0F181">
      <w:pPr>
        <w:pStyle w:val="2"/>
        <w:spacing w:before="43" w:line="189" w:lineRule="auto"/>
        <w:ind w:left="29"/>
      </w:pPr>
      <w:r>
        <w:rPr>
          <w:color w:val="231F20"/>
          <w:spacing w:val="5"/>
        </w:rPr>
        <w:t>•</w:t>
      </w:r>
      <w:r>
        <w:rPr>
          <w:color w:val="231F20"/>
          <w:spacing w:val="12"/>
        </w:rPr>
        <w:t xml:space="preserve">    </w:t>
      </w:r>
      <w:r>
        <w:rPr>
          <w:color w:val="231F20"/>
          <w:spacing w:val="5"/>
        </w:rPr>
        <w:t>计算修正久期与麦考利久期</w:t>
      </w:r>
    </w:p>
    <w:p w14:paraId="05CDEC3A">
      <w:pPr>
        <w:pStyle w:val="2"/>
        <w:spacing w:before="58" w:line="189" w:lineRule="auto"/>
        <w:ind w:left="29"/>
      </w:pPr>
      <w:r>
        <w:rPr>
          <w:color w:val="231F20"/>
          <w:spacing w:val="6"/>
        </w:rPr>
        <w:t>•</w:t>
      </w:r>
      <w:r>
        <w:rPr>
          <w:color w:val="231F20"/>
          <w:spacing w:val="10"/>
        </w:rPr>
        <w:t xml:space="preserve">    </w:t>
      </w:r>
      <w:r>
        <w:rPr>
          <w:color w:val="231F20"/>
          <w:spacing w:val="6"/>
        </w:rPr>
        <w:t>描述固定收益头寸凸性的影响</w:t>
      </w:r>
    </w:p>
    <w:p w14:paraId="791B1518">
      <w:pPr>
        <w:spacing w:line="189" w:lineRule="auto"/>
        <w:sectPr>
          <w:footerReference r:id="rId18" w:type="default"/>
          <w:pgSz w:w="10660" w:h="15081"/>
          <w:pgMar w:top="1281" w:right="1167" w:bottom="325" w:left="1309" w:header="0" w:footer="0" w:gutter="0"/>
          <w:cols w:space="720" w:num="1"/>
        </w:sectPr>
      </w:pPr>
      <w:r>
        <w:rPr>
          <w:rFonts w:hint="eastAsia" w:ascii="微软雅黑" w:hAnsi="微软雅黑" w:eastAsia="微软雅黑" w:cs="微软雅黑"/>
          <w:sz w:val="71"/>
          <w:szCs w:val="71"/>
          <w:lang w:eastAsia="zh-CN"/>
        </w:rPr>
        <w:drawing>
          <wp:anchor distT="0" distB="0" distL="114300" distR="114300" simplePos="0" relativeHeight="251701248" behindDoc="0" locked="0" layoutInCell="1" allowOverlap="1">
            <wp:simplePos x="0" y="0"/>
            <wp:positionH relativeFrom="column">
              <wp:posOffset>-820420</wp:posOffset>
            </wp:positionH>
            <wp:positionV relativeFrom="paragraph">
              <wp:posOffset>34290</wp:posOffset>
            </wp:positionV>
            <wp:extent cx="6795770" cy="384810"/>
            <wp:effectExtent l="0" t="0" r="1270" b="11430"/>
            <wp:wrapNone/>
            <wp:docPr id="20" name="图片 20" descr="文字文稿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文字文稿1_01"/>
                    <pic:cNvPicPr>
                      <a:picLocks noChangeAspect="1"/>
                    </pic:cNvPicPr>
                  </pic:nvPicPr>
                  <pic:blipFill>
                    <a:blip r:embed="rId36">
                      <a:lum contrast="6000"/>
                    </a:blip>
                    <a:srcRect t="96008"/>
                    <a:stretch>
                      <a:fillRect/>
                    </a:stretch>
                  </pic:blipFill>
                  <pic:spPr>
                    <a:xfrm>
                      <a:off x="0" y="0"/>
                      <a:ext cx="6795770" cy="384810"/>
                    </a:xfrm>
                    <a:prstGeom prst="rect">
                      <a:avLst/>
                    </a:prstGeom>
                  </pic:spPr>
                </pic:pic>
              </a:graphicData>
            </a:graphic>
          </wp:anchor>
        </w:drawing>
      </w:r>
    </w:p>
    <w:p w14:paraId="2D916975">
      <w:pPr>
        <w:pStyle w:val="2"/>
        <w:spacing w:before="43" w:line="184" w:lineRule="auto"/>
        <w:ind w:left="30"/>
        <w:rPr>
          <w:sz w:val="22"/>
          <w:szCs w:val="22"/>
        </w:rPr>
      </w:pPr>
      <w:r>
        <w:rPr>
          <w:color w:val="231F20"/>
          <w:spacing w:val="-1"/>
          <w:sz w:val="22"/>
          <w:szCs w:val="22"/>
        </w:rPr>
        <w:t>•    说明远期利率协议和短期利率期货的区别</w:t>
      </w:r>
    </w:p>
    <w:p w14:paraId="4332AE0D">
      <w:pPr>
        <w:pStyle w:val="2"/>
        <w:spacing w:before="39" w:line="184" w:lineRule="auto"/>
        <w:ind w:left="30"/>
        <w:rPr>
          <w:sz w:val="22"/>
          <w:szCs w:val="22"/>
        </w:rPr>
      </w:pPr>
      <w:r>
        <w:rPr>
          <w:color w:val="231F20"/>
          <w:spacing w:val="-1"/>
          <w:sz w:val="22"/>
          <w:szCs w:val="22"/>
        </w:rPr>
        <w:t>•    确定利率互换是如何估值与描述风险的</w:t>
      </w:r>
    </w:p>
    <w:p w14:paraId="1325EB70">
      <w:pPr>
        <w:pStyle w:val="2"/>
        <w:spacing w:before="41" w:line="178" w:lineRule="auto"/>
        <w:ind w:left="30"/>
        <w:rPr>
          <w:sz w:val="22"/>
          <w:szCs w:val="22"/>
        </w:rPr>
      </w:pPr>
      <w:r>
        <w:rPr>
          <w:color w:val="231F20"/>
          <w:spacing w:val="-4"/>
          <w:position w:val="1"/>
          <w:sz w:val="22"/>
          <w:szCs w:val="22"/>
        </w:rPr>
        <w:t>•</w:t>
      </w:r>
      <w:r>
        <w:rPr>
          <w:color w:val="231F20"/>
          <w:spacing w:val="9"/>
          <w:position w:val="1"/>
          <w:sz w:val="22"/>
          <w:szCs w:val="22"/>
        </w:rPr>
        <w:t xml:space="preserve">    </w:t>
      </w:r>
      <w:r>
        <w:rPr>
          <w:color w:val="231F20"/>
          <w:spacing w:val="-4"/>
          <w:sz w:val="22"/>
          <w:szCs w:val="22"/>
        </w:rPr>
        <w:t>描述货币互换的结构与定价</w:t>
      </w:r>
    </w:p>
    <w:p w14:paraId="603A06A7">
      <w:pPr>
        <w:pStyle w:val="2"/>
        <w:spacing w:before="64" w:line="177" w:lineRule="auto"/>
        <w:ind w:left="30"/>
        <w:rPr>
          <w:sz w:val="22"/>
          <w:szCs w:val="22"/>
        </w:rPr>
      </w:pPr>
      <w:r>
        <w:rPr>
          <w:color w:val="231F20"/>
          <w:spacing w:val="-4"/>
          <w:position w:val="1"/>
          <w:sz w:val="22"/>
          <w:szCs w:val="22"/>
        </w:rPr>
        <w:t>•</w:t>
      </w:r>
      <w:r>
        <w:rPr>
          <w:color w:val="231F20"/>
          <w:spacing w:val="10"/>
          <w:position w:val="1"/>
          <w:sz w:val="22"/>
          <w:szCs w:val="22"/>
        </w:rPr>
        <w:t xml:space="preserve">    </w:t>
      </w:r>
      <w:r>
        <w:rPr>
          <w:color w:val="231F20"/>
          <w:spacing w:val="-4"/>
          <w:sz w:val="22"/>
          <w:szCs w:val="22"/>
        </w:rPr>
        <w:t>识别期权和奇异固定收益工具</w:t>
      </w:r>
    </w:p>
    <w:p w14:paraId="151900C2">
      <w:pPr>
        <w:pStyle w:val="2"/>
        <w:spacing w:before="182" w:line="225" w:lineRule="auto"/>
        <w:ind w:left="2" w:right="3881" w:hanging="2"/>
        <w:rPr>
          <w:sz w:val="22"/>
          <w:szCs w:val="22"/>
        </w:rPr>
      </w:pPr>
      <w:r>
        <w:rPr>
          <w:color w:val="231F20"/>
          <w:sz w:val="24"/>
          <w:szCs w:val="24"/>
        </w:rPr>
        <w:t>第四章   股权和商品市场、工具及风险</w:t>
      </w:r>
      <w:r>
        <w:rPr>
          <w:color w:val="231F20"/>
          <w:spacing w:val="3"/>
          <w:sz w:val="24"/>
          <w:szCs w:val="24"/>
        </w:rPr>
        <w:t xml:space="preserve">    </w:t>
      </w:r>
      <w:r>
        <w:rPr>
          <w:color w:val="231F20"/>
          <w:spacing w:val="-7"/>
          <w:sz w:val="22"/>
          <w:szCs w:val="22"/>
        </w:rPr>
        <w:t>完成本章阅读与学习后</w:t>
      </w:r>
      <w:r>
        <w:rPr>
          <w:color w:val="231F20"/>
          <w:spacing w:val="-28"/>
          <w:sz w:val="22"/>
          <w:szCs w:val="22"/>
        </w:rPr>
        <w:t xml:space="preserve"> </w:t>
      </w:r>
      <w:r>
        <w:rPr>
          <w:color w:val="231F20"/>
          <w:spacing w:val="-7"/>
          <w:sz w:val="22"/>
          <w:szCs w:val="22"/>
        </w:rPr>
        <w:t>，您应具备以下能力：</w:t>
      </w:r>
    </w:p>
    <w:p w14:paraId="13BCD9DF">
      <w:pPr>
        <w:pStyle w:val="2"/>
        <w:spacing w:before="1" w:line="188" w:lineRule="auto"/>
        <w:ind w:left="29"/>
      </w:pPr>
      <w:r>
        <w:rPr>
          <w:color w:val="231F20"/>
          <w:spacing w:val="7"/>
        </w:rPr>
        <w:t>•    说明股权工具的特征和价值驱动因子</w:t>
      </w:r>
    </w:p>
    <w:p w14:paraId="4D7ECD37">
      <w:pPr>
        <w:pStyle w:val="2"/>
        <w:spacing w:before="59" w:line="190" w:lineRule="auto"/>
        <w:ind w:left="29"/>
      </w:pPr>
      <w:r>
        <w:rPr>
          <w:color w:val="231F20"/>
          <w:spacing w:val="7"/>
        </w:rPr>
        <w:t>•    理解股权远期和期货合约的定价</w:t>
      </w:r>
    </w:p>
    <w:p w14:paraId="45DCDCB3">
      <w:pPr>
        <w:pStyle w:val="2"/>
        <w:spacing w:before="59" w:line="189" w:lineRule="auto"/>
        <w:ind w:left="29"/>
      </w:pPr>
      <w:r>
        <w:rPr>
          <w:color w:val="231F20"/>
          <w:spacing w:val="7"/>
        </w:rPr>
        <w:t>•    说明股权指数和总收益互换的要素</w:t>
      </w:r>
    </w:p>
    <w:p w14:paraId="6296F4F1">
      <w:pPr>
        <w:pStyle w:val="2"/>
        <w:spacing w:before="59" w:line="190" w:lineRule="auto"/>
        <w:ind w:left="29"/>
      </w:pPr>
      <w:r>
        <w:rPr>
          <w:color w:val="231F20"/>
          <w:spacing w:val="5"/>
        </w:rPr>
        <w:t>•</w:t>
      </w:r>
      <w:r>
        <w:rPr>
          <w:color w:val="231F20"/>
          <w:spacing w:val="1"/>
        </w:rPr>
        <w:t xml:space="preserve">     </w:t>
      </w:r>
      <w:r>
        <w:rPr>
          <w:color w:val="231F20"/>
          <w:spacing w:val="5"/>
        </w:rPr>
        <w:t>比较股指期货和平衡股权投资组合</w:t>
      </w:r>
    </w:p>
    <w:p w14:paraId="362D0896">
      <w:pPr>
        <w:pStyle w:val="2"/>
        <w:spacing w:before="49" w:line="189" w:lineRule="auto"/>
        <w:ind w:left="29"/>
      </w:pPr>
      <w:r>
        <w:rPr>
          <w:color w:val="231F20"/>
          <w:spacing w:val="5"/>
        </w:rPr>
        <w:t>•</w:t>
      </w:r>
      <w:r>
        <w:rPr>
          <w:color w:val="231F20"/>
          <w:spacing w:val="11"/>
        </w:rPr>
        <w:t xml:space="preserve">    </w:t>
      </w:r>
      <w:r>
        <w:rPr>
          <w:color w:val="231F20"/>
          <w:spacing w:val="5"/>
        </w:rPr>
        <w:t>识别股权期权的主要特征</w:t>
      </w:r>
    </w:p>
    <w:p w14:paraId="0997BB64">
      <w:pPr>
        <w:pStyle w:val="2"/>
        <w:spacing w:before="60" w:line="190" w:lineRule="auto"/>
        <w:ind w:left="29"/>
      </w:pPr>
      <w:r>
        <w:rPr>
          <w:color w:val="231F20"/>
          <w:spacing w:val="7"/>
        </w:rPr>
        <w:t>•    评估实务大宗商品的主要风险驱动因子</w:t>
      </w:r>
    </w:p>
    <w:p w14:paraId="4A634CA9">
      <w:pPr>
        <w:pStyle w:val="2"/>
        <w:spacing w:before="58" w:line="189" w:lineRule="auto"/>
        <w:ind w:left="29"/>
      </w:pPr>
      <w:r>
        <w:rPr>
          <w:color w:val="231F20"/>
          <w:spacing w:val="6"/>
        </w:rPr>
        <w:t>•</w:t>
      </w:r>
      <w:r>
        <w:rPr>
          <w:color w:val="231F20"/>
          <w:spacing w:val="9"/>
        </w:rPr>
        <w:t xml:space="preserve">    </w:t>
      </w:r>
      <w:r>
        <w:rPr>
          <w:color w:val="231F20"/>
          <w:spacing w:val="6"/>
        </w:rPr>
        <w:t>理解大宗商品衍生品的风险</w:t>
      </w:r>
    </w:p>
    <w:p w14:paraId="0B3F0EE8">
      <w:pPr>
        <w:pStyle w:val="2"/>
        <w:spacing w:before="64" w:line="189" w:lineRule="auto"/>
        <w:ind w:left="29"/>
      </w:pPr>
      <w:r>
        <w:rPr>
          <w:color w:val="231F20"/>
          <w:spacing w:val="5"/>
        </w:rPr>
        <w:t>•</w:t>
      </w:r>
      <w:r>
        <w:rPr>
          <w:color w:val="231F20"/>
          <w:spacing w:val="11"/>
        </w:rPr>
        <w:t xml:space="preserve">    </w:t>
      </w:r>
      <w:r>
        <w:rPr>
          <w:color w:val="231F20"/>
          <w:spacing w:val="5"/>
        </w:rPr>
        <w:t>分析主要的信用衍生工具</w:t>
      </w:r>
    </w:p>
    <w:p w14:paraId="3D3A7857">
      <w:pPr>
        <w:spacing w:line="326" w:lineRule="auto"/>
        <w:rPr>
          <w:rFonts w:ascii="Arial"/>
          <w:sz w:val="21"/>
        </w:rPr>
      </w:pPr>
    </w:p>
    <w:p w14:paraId="244FEEE7">
      <w:pPr>
        <w:pStyle w:val="2"/>
        <w:spacing w:before="103" w:line="184" w:lineRule="auto"/>
        <w:rPr>
          <w:sz w:val="24"/>
          <w:szCs w:val="24"/>
        </w:rPr>
      </w:pPr>
      <w:r>
        <w:rPr>
          <w:color w:val="231F20"/>
          <w:spacing w:val="-2"/>
          <w:sz w:val="24"/>
          <w:szCs w:val="24"/>
        </w:rPr>
        <w:t>第五章</w:t>
      </w:r>
      <w:r>
        <w:rPr>
          <w:color w:val="231F20"/>
          <w:spacing w:val="13"/>
          <w:sz w:val="24"/>
          <w:szCs w:val="24"/>
        </w:rPr>
        <w:t xml:space="preserve">   </w:t>
      </w:r>
      <w:r>
        <w:rPr>
          <w:color w:val="231F20"/>
          <w:spacing w:val="-2"/>
          <w:sz w:val="24"/>
          <w:szCs w:val="24"/>
        </w:rPr>
        <w:t>风险计量过程</w:t>
      </w:r>
    </w:p>
    <w:p w14:paraId="3234647A">
      <w:pPr>
        <w:pStyle w:val="2"/>
        <w:spacing w:before="84" w:line="185" w:lineRule="auto"/>
        <w:ind w:left="2"/>
        <w:rPr>
          <w:sz w:val="22"/>
          <w:szCs w:val="22"/>
        </w:rPr>
      </w:pPr>
      <w:r>
        <w:rPr>
          <w:color w:val="231F20"/>
          <w:spacing w:val="-5"/>
          <w:sz w:val="22"/>
          <w:szCs w:val="22"/>
        </w:rPr>
        <w:t>完成本章阅读与学习后</w:t>
      </w:r>
      <w:r>
        <w:rPr>
          <w:color w:val="231F20"/>
          <w:spacing w:val="-25"/>
          <w:sz w:val="22"/>
          <w:szCs w:val="22"/>
        </w:rPr>
        <w:t xml:space="preserve"> </w:t>
      </w:r>
      <w:r>
        <w:rPr>
          <w:color w:val="231F20"/>
          <w:spacing w:val="-5"/>
          <w:sz w:val="22"/>
          <w:szCs w:val="22"/>
        </w:rPr>
        <w:t>，您应具备以下能力：</w:t>
      </w:r>
    </w:p>
    <w:p w14:paraId="787D59D6">
      <w:pPr>
        <w:pStyle w:val="2"/>
        <w:spacing w:before="27" w:line="189" w:lineRule="auto"/>
        <w:ind w:left="29"/>
      </w:pPr>
      <w:r>
        <w:rPr>
          <w:color w:val="231F20"/>
          <w:spacing w:val="11"/>
        </w:rPr>
        <w:t>•</w:t>
      </w:r>
      <w:r>
        <w:rPr>
          <w:color w:val="231F20"/>
          <w:spacing w:val="10"/>
        </w:rPr>
        <w:t xml:space="preserve">    </w:t>
      </w:r>
      <w:r>
        <w:rPr>
          <w:color w:val="231F20"/>
          <w:spacing w:val="11"/>
        </w:rPr>
        <w:t>给出</w:t>
      </w:r>
      <w:r>
        <w:rPr>
          <w:color w:val="231F20"/>
        </w:rPr>
        <w:t>VaR</w:t>
      </w:r>
      <w:r>
        <w:rPr>
          <w:color w:val="231F20"/>
          <w:spacing w:val="11"/>
        </w:rPr>
        <w:t>的正确定义</w:t>
      </w:r>
    </w:p>
    <w:p w14:paraId="463EDBF9">
      <w:pPr>
        <w:pStyle w:val="2"/>
        <w:spacing w:before="45" w:line="190" w:lineRule="auto"/>
        <w:ind w:left="29"/>
      </w:pPr>
      <w:r>
        <w:rPr>
          <w:color w:val="231F20"/>
          <w:spacing w:val="10"/>
        </w:rPr>
        <w:t>•    使用正态分布法估算参数</w:t>
      </w:r>
      <w:r>
        <w:rPr>
          <w:color w:val="231F20"/>
        </w:rPr>
        <w:t>VaR</w:t>
      </w:r>
    </w:p>
    <w:p w14:paraId="319D292D">
      <w:pPr>
        <w:pStyle w:val="2"/>
        <w:spacing w:before="49" w:line="189" w:lineRule="auto"/>
        <w:ind w:left="29"/>
      </w:pPr>
      <w:r>
        <w:rPr>
          <w:color w:val="231F20"/>
          <w:spacing w:val="10"/>
        </w:rPr>
        <w:t>•    描述如何使用历史数据估算</w:t>
      </w:r>
      <w:r>
        <w:rPr>
          <w:color w:val="231F20"/>
        </w:rPr>
        <w:t>VaR</w:t>
      </w:r>
    </w:p>
    <w:p w14:paraId="4C5383AE">
      <w:pPr>
        <w:pStyle w:val="2"/>
        <w:spacing w:before="47" w:line="189" w:lineRule="auto"/>
        <w:ind w:left="29"/>
      </w:pPr>
      <w:r>
        <w:rPr>
          <w:color w:val="231F20"/>
          <w:spacing w:val="10"/>
        </w:rPr>
        <w:t>•    理解如何用蒙特卡罗方法计算</w:t>
      </w:r>
      <w:r>
        <w:rPr>
          <w:color w:val="231F20"/>
        </w:rPr>
        <w:t>VaR</w:t>
      </w:r>
    </w:p>
    <w:p w14:paraId="42DA621D">
      <w:pPr>
        <w:pStyle w:val="2"/>
        <w:spacing w:before="36" w:line="189" w:lineRule="auto"/>
        <w:ind w:left="29"/>
      </w:pPr>
      <w:r>
        <w:rPr>
          <w:color w:val="231F20"/>
          <w:spacing w:val="11"/>
        </w:rPr>
        <w:t>•</w:t>
      </w:r>
      <w:r>
        <w:rPr>
          <w:color w:val="231F20"/>
          <w:spacing w:val="10"/>
        </w:rPr>
        <w:t xml:space="preserve">    </w:t>
      </w:r>
      <w:r>
        <w:rPr>
          <w:color w:val="231F20"/>
          <w:spacing w:val="11"/>
        </w:rPr>
        <w:t>识别</w:t>
      </w:r>
      <w:r>
        <w:rPr>
          <w:color w:val="231F20"/>
        </w:rPr>
        <w:t>VaR</w:t>
      </w:r>
      <w:r>
        <w:rPr>
          <w:color w:val="231F20"/>
          <w:spacing w:val="11"/>
        </w:rPr>
        <w:t>的主要缺点</w:t>
      </w:r>
    </w:p>
    <w:p w14:paraId="0BFD8A70">
      <w:pPr>
        <w:pStyle w:val="2"/>
        <w:spacing w:before="40" w:line="189" w:lineRule="auto"/>
        <w:ind w:left="29"/>
      </w:pPr>
      <w:r>
        <w:rPr>
          <w:color w:val="231F20"/>
          <w:spacing w:val="11"/>
        </w:rPr>
        <w:t>•</w:t>
      </w:r>
      <w:r>
        <w:rPr>
          <w:color w:val="231F20"/>
          <w:spacing w:val="10"/>
        </w:rPr>
        <w:t xml:space="preserve">    </w:t>
      </w:r>
      <w:r>
        <w:rPr>
          <w:color w:val="231F20"/>
          <w:spacing w:val="11"/>
        </w:rPr>
        <w:t>评估</w:t>
      </w:r>
      <w:r>
        <w:rPr>
          <w:color w:val="231F20"/>
        </w:rPr>
        <w:t>VaR</w:t>
      </w:r>
      <w:r>
        <w:rPr>
          <w:color w:val="231F20"/>
          <w:spacing w:val="11"/>
        </w:rPr>
        <w:t>的多因子法</w:t>
      </w:r>
    </w:p>
    <w:p w14:paraId="5523D4E6">
      <w:pPr>
        <w:pStyle w:val="2"/>
        <w:spacing w:before="46" w:line="189" w:lineRule="auto"/>
        <w:ind w:left="29"/>
      </w:pPr>
      <w:r>
        <w:rPr>
          <w:color w:val="231F20"/>
          <w:spacing w:val="10"/>
        </w:rPr>
        <w:t>•    描述为期权头寸如何转换以估算</w:t>
      </w:r>
      <w:r>
        <w:rPr>
          <w:color w:val="231F20"/>
        </w:rPr>
        <w:t>VaR</w:t>
      </w:r>
    </w:p>
    <w:p w14:paraId="07341324">
      <w:pPr>
        <w:pStyle w:val="2"/>
        <w:spacing w:before="34" w:line="191" w:lineRule="auto"/>
        <w:ind w:left="29"/>
      </w:pPr>
      <w:r>
        <w:rPr>
          <w:color w:val="231F20"/>
          <w:spacing w:val="10"/>
        </w:rPr>
        <w:t>•</w:t>
      </w:r>
      <w:r>
        <w:rPr>
          <w:color w:val="231F20"/>
          <w:spacing w:val="13"/>
        </w:rPr>
        <w:t xml:space="preserve">    </w:t>
      </w:r>
      <w:r>
        <w:rPr>
          <w:color w:val="231F20"/>
          <w:spacing w:val="10"/>
        </w:rPr>
        <w:t>描述每日</w:t>
      </w:r>
      <w:r>
        <w:rPr>
          <w:color w:val="231F20"/>
        </w:rPr>
        <w:t>VaR</w:t>
      </w:r>
      <w:r>
        <w:rPr>
          <w:color w:val="231F20"/>
          <w:spacing w:val="10"/>
        </w:rPr>
        <w:t>模型流程</w:t>
      </w:r>
    </w:p>
    <w:p w14:paraId="1B991D3B">
      <w:pPr>
        <w:pStyle w:val="2"/>
        <w:spacing w:before="50" w:line="182" w:lineRule="auto"/>
        <w:ind w:left="29"/>
      </w:pPr>
      <w:r>
        <w:rPr>
          <w:color w:val="231F20"/>
          <w:spacing w:val="10"/>
          <w:position w:val="1"/>
        </w:rPr>
        <w:t xml:space="preserve">•    </w:t>
      </w:r>
      <w:r>
        <w:rPr>
          <w:color w:val="231F20"/>
          <w:spacing w:val="10"/>
        </w:rPr>
        <w:t>说明预期损失模型如何解决</w:t>
      </w:r>
      <w:r>
        <w:rPr>
          <w:color w:val="231F20"/>
        </w:rPr>
        <w:t>VaR</w:t>
      </w:r>
      <w:r>
        <w:rPr>
          <w:color w:val="231F20"/>
          <w:spacing w:val="10"/>
        </w:rPr>
        <w:t>模型的连贯性问题</w:t>
      </w:r>
    </w:p>
    <w:p w14:paraId="1E510AAC">
      <w:pPr>
        <w:pStyle w:val="2"/>
        <w:spacing w:before="46" w:line="189" w:lineRule="auto"/>
        <w:ind w:left="29"/>
      </w:pPr>
      <w:r>
        <w:rPr>
          <w:color w:val="231F20"/>
          <w:spacing w:val="6"/>
        </w:rPr>
        <w:t>•    定义压力风险价值模型的目标</w:t>
      </w:r>
    </w:p>
    <w:p w14:paraId="2526D661">
      <w:pPr>
        <w:pStyle w:val="2"/>
        <w:spacing w:before="8" w:line="223" w:lineRule="auto"/>
        <w:ind w:left="29"/>
      </w:pPr>
      <w:r>
        <w:rPr>
          <w:color w:val="231F20"/>
          <w:spacing w:val="9"/>
        </w:rPr>
        <w:t>•    评估巴塞尔增量风险资本要求（</w:t>
      </w:r>
      <w:r>
        <w:rPr>
          <w:color w:val="231F20"/>
        </w:rPr>
        <w:t>IRC</w:t>
      </w:r>
      <w:r>
        <w:rPr>
          <w:color w:val="231F20"/>
          <w:spacing w:val="9"/>
        </w:rPr>
        <w:t>）</w:t>
      </w:r>
      <w:r>
        <w:rPr>
          <w:color w:val="231F20"/>
          <w:spacing w:val="-28"/>
        </w:rPr>
        <w:t xml:space="preserve"> </w:t>
      </w:r>
      <w:r>
        <w:rPr>
          <w:color w:val="231F20"/>
          <w:spacing w:val="9"/>
        </w:rPr>
        <w:t>的重要性</w:t>
      </w:r>
    </w:p>
    <w:p w14:paraId="365DDBBD">
      <w:pPr>
        <w:pStyle w:val="2"/>
        <w:spacing w:before="1" w:line="221" w:lineRule="auto"/>
        <w:ind w:left="29"/>
      </w:pPr>
      <w:r>
        <w:rPr>
          <w:color w:val="231F20"/>
          <w:spacing w:val="7"/>
        </w:rPr>
        <w:t>•    描述巴塞尔全面风险度量（</w:t>
      </w:r>
      <w:r>
        <w:rPr>
          <w:color w:val="231F20"/>
          <w:spacing w:val="-14"/>
        </w:rPr>
        <w:t xml:space="preserve"> </w:t>
      </w:r>
      <w:r>
        <w:rPr>
          <w:color w:val="231F20"/>
        </w:rPr>
        <w:t>CRM</w:t>
      </w:r>
      <w:r>
        <w:rPr>
          <w:color w:val="231F20"/>
          <w:spacing w:val="7"/>
        </w:rPr>
        <w:t>）</w:t>
      </w:r>
    </w:p>
    <w:p w14:paraId="49B75E9E">
      <w:pPr>
        <w:pStyle w:val="2"/>
        <w:spacing w:before="1" w:line="228" w:lineRule="auto"/>
        <w:ind w:left="29"/>
      </w:pPr>
      <w:r>
        <w:rPr>
          <w:color w:val="231F20"/>
          <w:spacing w:val="8"/>
        </w:rPr>
        <w:t>•    探究信用估值调整（</w:t>
      </w:r>
      <w:r>
        <w:rPr>
          <w:color w:val="231F20"/>
          <w:spacing w:val="-14"/>
        </w:rPr>
        <w:t xml:space="preserve"> </w:t>
      </w:r>
      <w:r>
        <w:rPr>
          <w:color w:val="231F20"/>
        </w:rPr>
        <w:t>CVA</w:t>
      </w:r>
      <w:r>
        <w:rPr>
          <w:color w:val="231F20"/>
          <w:spacing w:val="8"/>
        </w:rPr>
        <w:t>）作为风险量化方式的稳健性</w:t>
      </w:r>
    </w:p>
    <w:p w14:paraId="09C2A3F4">
      <w:pPr>
        <w:pStyle w:val="2"/>
        <w:spacing w:before="51" w:line="190" w:lineRule="auto"/>
        <w:ind w:left="29"/>
      </w:pPr>
      <w:r>
        <w:rPr>
          <w:color w:val="231F20"/>
          <w:spacing w:val="6"/>
        </w:rPr>
        <w:t>•</w:t>
      </w:r>
      <w:r>
        <w:rPr>
          <w:color w:val="231F20"/>
          <w:spacing w:val="10"/>
        </w:rPr>
        <w:t xml:space="preserve">    </w:t>
      </w:r>
      <w:r>
        <w:rPr>
          <w:color w:val="231F20"/>
          <w:spacing w:val="6"/>
        </w:rPr>
        <w:t>识别市场风险的最低资本要求</w:t>
      </w:r>
    </w:p>
    <w:p w14:paraId="2DC74B75">
      <w:pPr>
        <w:pStyle w:val="2"/>
        <w:spacing w:before="201" w:line="184" w:lineRule="auto"/>
        <w:rPr>
          <w:sz w:val="24"/>
          <w:szCs w:val="24"/>
        </w:rPr>
      </w:pPr>
      <w:r>
        <w:rPr>
          <w:color w:val="231F20"/>
          <w:spacing w:val="-2"/>
          <w:sz w:val="24"/>
          <w:szCs w:val="24"/>
        </w:rPr>
        <w:t>第六章</w:t>
      </w:r>
      <w:r>
        <w:rPr>
          <w:color w:val="231F20"/>
          <w:spacing w:val="15"/>
          <w:sz w:val="24"/>
          <w:szCs w:val="24"/>
        </w:rPr>
        <w:t xml:space="preserve">   </w:t>
      </w:r>
      <w:r>
        <w:rPr>
          <w:color w:val="231F20"/>
          <w:spacing w:val="-2"/>
          <w:sz w:val="24"/>
          <w:szCs w:val="24"/>
        </w:rPr>
        <w:t>银行交易策略中的风险</w:t>
      </w:r>
    </w:p>
    <w:p w14:paraId="36644C59">
      <w:pPr>
        <w:pStyle w:val="2"/>
        <w:spacing w:before="84" w:line="185" w:lineRule="auto"/>
        <w:ind w:left="2"/>
        <w:rPr>
          <w:sz w:val="22"/>
          <w:szCs w:val="22"/>
        </w:rPr>
      </w:pPr>
      <w:r>
        <w:rPr>
          <w:color w:val="231F20"/>
          <w:spacing w:val="-5"/>
          <w:sz w:val="22"/>
          <w:szCs w:val="22"/>
        </w:rPr>
        <w:t>完成本章阅读与学习后</w:t>
      </w:r>
      <w:r>
        <w:rPr>
          <w:color w:val="231F20"/>
          <w:spacing w:val="-25"/>
          <w:sz w:val="22"/>
          <w:szCs w:val="22"/>
        </w:rPr>
        <w:t xml:space="preserve"> </w:t>
      </w:r>
      <w:r>
        <w:rPr>
          <w:color w:val="231F20"/>
          <w:spacing w:val="-5"/>
          <w:sz w:val="22"/>
          <w:szCs w:val="22"/>
        </w:rPr>
        <w:t>，您应具备以下能力：</w:t>
      </w:r>
    </w:p>
    <w:p w14:paraId="65BF396E">
      <w:pPr>
        <w:pStyle w:val="2"/>
        <w:spacing w:before="29" w:line="189" w:lineRule="auto"/>
        <w:ind w:left="29"/>
      </w:pPr>
      <w:r>
        <w:rPr>
          <w:color w:val="231F20"/>
          <w:spacing w:val="4"/>
        </w:rPr>
        <w:t>•</w:t>
      </w:r>
      <w:r>
        <w:rPr>
          <w:color w:val="231F20"/>
          <w:spacing w:val="11"/>
        </w:rPr>
        <w:t xml:space="preserve">    </w:t>
      </w:r>
      <w:r>
        <w:rPr>
          <w:color w:val="231F20"/>
          <w:spacing w:val="4"/>
        </w:rPr>
        <w:t>描述头寸管理和对冲</w:t>
      </w:r>
    </w:p>
    <w:p w14:paraId="66973344">
      <w:pPr>
        <w:pStyle w:val="2"/>
        <w:spacing w:before="37" w:line="189" w:lineRule="auto"/>
        <w:ind w:left="29"/>
      </w:pPr>
      <w:r>
        <w:rPr>
          <w:color w:val="231F20"/>
          <w:spacing w:val="4"/>
        </w:rPr>
        <w:t>•</w:t>
      </w:r>
      <w:r>
        <w:rPr>
          <w:color w:val="231F20"/>
          <w:spacing w:val="11"/>
        </w:rPr>
        <w:t xml:space="preserve">    </w:t>
      </w:r>
      <w:r>
        <w:rPr>
          <w:color w:val="231F20"/>
          <w:spacing w:val="4"/>
        </w:rPr>
        <w:t>说明杠杆交易的风险</w:t>
      </w:r>
    </w:p>
    <w:p w14:paraId="3559E5B0">
      <w:pPr>
        <w:pStyle w:val="2"/>
        <w:spacing w:before="35" w:line="190" w:lineRule="auto"/>
        <w:ind w:left="29"/>
      </w:pPr>
      <w:r>
        <w:rPr>
          <w:color w:val="231F20"/>
          <w:spacing w:val="4"/>
        </w:rPr>
        <w:t>•</w:t>
      </w:r>
      <w:r>
        <w:rPr>
          <w:color w:val="231F20"/>
          <w:spacing w:val="11"/>
        </w:rPr>
        <w:t xml:space="preserve">    </w:t>
      </w:r>
      <w:r>
        <w:rPr>
          <w:color w:val="231F20"/>
          <w:spacing w:val="4"/>
        </w:rPr>
        <w:t>识别利差交易的风险</w:t>
      </w:r>
    </w:p>
    <w:p w14:paraId="68214B1E">
      <w:pPr>
        <w:pStyle w:val="2"/>
        <w:spacing w:before="45" w:line="190" w:lineRule="auto"/>
        <w:ind w:left="29"/>
      </w:pPr>
      <w:r>
        <w:rPr>
          <w:color w:val="231F20"/>
          <w:spacing w:val="5"/>
        </w:rPr>
        <w:t>•</w:t>
      </w:r>
      <w:r>
        <w:rPr>
          <w:color w:val="231F20"/>
          <w:spacing w:val="12"/>
        </w:rPr>
        <w:t xml:space="preserve">    </w:t>
      </w:r>
      <w:r>
        <w:rPr>
          <w:color w:val="231F20"/>
          <w:spacing w:val="5"/>
        </w:rPr>
        <w:t>说明金融市场中的风险动态</w:t>
      </w:r>
    </w:p>
    <w:p w14:paraId="7F330FEB">
      <w:pPr>
        <w:pStyle w:val="2"/>
        <w:spacing w:before="48" w:line="190" w:lineRule="auto"/>
        <w:ind w:left="29"/>
      </w:pPr>
      <w:r>
        <w:rPr>
          <w:color w:val="231F20"/>
          <w:spacing w:val="7"/>
        </w:rPr>
        <w:t>•    评估基差交易中的相对风险量级</w:t>
      </w:r>
    </w:p>
    <w:p w14:paraId="601D4F61">
      <w:pPr>
        <w:pStyle w:val="2"/>
        <w:spacing w:before="37" w:line="189" w:lineRule="auto"/>
        <w:ind w:left="29"/>
      </w:pPr>
      <w:r>
        <w:rPr>
          <w:color w:val="231F20"/>
          <w:spacing w:val="5"/>
        </w:rPr>
        <w:t>•</w:t>
      </w:r>
      <w:r>
        <w:rPr>
          <w:color w:val="231F20"/>
          <w:spacing w:val="11"/>
        </w:rPr>
        <w:t xml:space="preserve">    </w:t>
      </w:r>
      <w:r>
        <w:rPr>
          <w:color w:val="231F20"/>
          <w:spacing w:val="5"/>
        </w:rPr>
        <w:t>评估交易控制失效的后果</w:t>
      </w:r>
    </w:p>
    <w:p w14:paraId="75265E55">
      <w:pPr>
        <w:spacing w:line="189" w:lineRule="auto"/>
        <w:sectPr>
          <w:pgSz w:w="10660" w:h="15081"/>
          <w:pgMar w:top="1268" w:right="1167" w:bottom="325" w:left="1309" w:header="0" w:footer="0" w:gutter="0"/>
          <w:cols w:space="720" w:num="1"/>
        </w:sectPr>
      </w:pPr>
      <w:r>
        <w:rPr>
          <w:rFonts w:hint="eastAsia" w:ascii="微软雅黑" w:hAnsi="微软雅黑" w:eastAsia="微软雅黑" w:cs="微软雅黑"/>
          <w:sz w:val="71"/>
          <w:szCs w:val="71"/>
          <w:lang w:eastAsia="zh-CN"/>
        </w:rPr>
        <w:drawing>
          <wp:anchor distT="0" distB="0" distL="114300" distR="114300" simplePos="0" relativeHeight="251702272" behindDoc="0" locked="0" layoutInCell="1" allowOverlap="1">
            <wp:simplePos x="0" y="0"/>
            <wp:positionH relativeFrom="column">
              <wp:posOffset>-820420</wp:posOffset>
            </wp:positionH>
            <wp:positionV relativeFrom="paragraph">
              <wp:posOffset>80645</wp:posOffset>
            </wp:positionV>
            <wp:extent cx="6795770" cy="384810"/>
            <wp:effectExtent l="0" t="0" r="1270" b="11430"/>
            <wp:wrapNone/>
            <wp:docPr id="21" name="图片 21" descr="文字文稿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文字文稿1_01"/>
                    <pic:cNvPicPr>
                      <a:picLocks noChangeAspect="1"/>
                    </pic:cNvPicPr>
                  </pic:nvPicPr>
                  <pic:blipFill>
                    <a:blip r:embed="rId36">
                      <a:lum contrast="6000"/>
                    </a:blip>
                    <a:srcRect t="96008"/>
                    <a:stretch>
                      <a:fillRect/>
                    </a:stretch>
                  </pic:blipFill>
                  <pic:spPr>
                    <a:xfrm>
                      <a:off x="0" y="0"/>
                      <a:ext cx="6795770" cy="384810"/>
                    </a:xfrm>
                    <a:prstGeom prst="rect">
                      <a:avLst/>
                    </a:prstGeom>
                  </pic:spPr>
                </pic:pic>
              </a:graphicData>
            </a:graphic>
          </wp:anchor>
        </w:drawing>
      </w:r>
    </w:p>
    <w:p w14:paraId="3D5D7AEC">
      <w:pPr>
        <w:pStyle w:val="2"/>
        <w:spacing w:before="41" w:line="190" w:lineRule="auto"/>
        <w:ind w:left="29"/>
      </w:pPr>
      <w:r>
        <w:rPr>
          <w:color w:val="231F20"/>
          <w:spacing w:val="4"/>
        </w:rPr>
        <w:t>•</w:t>
      </w:r>
      <w:r>
        <w:rPr>
          <w:color w:val="231F20"/>
          <w:spacing w:val="11"/>
        </w:rPr>
        <w:t xml:space="preserve">    </w:t>
      </w:r>
      <w:r>
        <w:rPr>
          <w:color w:val="231F20"/>
          <w:spacing w:val="4"/>
        </w:rPr>
        <w:t>描述盯市程序的问题</w:t>
      </w:r>
    </w:p>
    <w:p w14:paraId="2E638CF3">
      <w:pPr>
        <w:pStyle w:val="2"/>
        <w:spacing w:before="45" w:line="190" w:lineRule="auto"/>
        <w:ind w:left="29"/>
      </w:pPr>
      <w:r>
        <w:rPr>
          <w:color w:val="231F20"/>
          <w:spacing w:val="7"/>
        </w:rPr>
        <w:t>•    定义有关投资组合多样化方法的风险</w:t>
      </w:r>
    </w:p>
    <w:p w14:paraId="23A32195">
      <w:pPr>
        <w:pStyle w:val="2"/>
        <w:spacing w:before="46" w:line="189" w:lineRule="auto"/>
        <w:ind w:left="29"/>
      </w:pPr>
      <w:r>
        <w:rPr>
          <w:color w:val="231F20"/>
          <w:spacing w:val="6"/>
        </w:rPr>
        <w:t>•</w:t>
      </w:r>
      <w:r>
        <w:rPr>
          <w:color w:val="231F20"/>
          <w:spacing w:val="11"/>
        </w:rPr>
        <w:t xml:space="preserve">    </w:t>
      </w:r>
      <w:r>
        <w:rPr>
          <w:color w:val="231F20"/>
          <w:spacing w:val="6"/>
        </w:rPr>
        <w:t>推断对冲方法的主要和派生风险</w:t>
      </w:r>
    </w:p>
    <w:p w14:paraId="18A671FB">
      <w:pPr>
        <w:pStyle w:val="2"/>
        <w:spacing w:before="72" w:line="182" w:lineRule="auto"/>
        <w:ind w:left="29"/>
      </w:pPr>
      <w:r>
        <w:rPr>
          <w:color w:val="231F20"/>
          <w:spacing w:val="7"/>
          <w:position w:val="1"/>
        </w:rPr>
        <w:t xml:space="preserve">•    </w:t>
      </w:r>
      <w:r>
        <w:rPr>
          <w:color w:val="231F20"/>
          <w:spacing w:val="7"/>
        </w:rPr>
        <w:t>说明合成组合方法的有关潜在风险</w:t>
      </w:r>
    </w:p>
    <w:p w14:paraId="329A2876">
      <w:pPr>
        <w:pStyle w:val="2"/>
        <w:spacing w:before="186" w:line="184" w:lineRule="auto"/>
        <w:rPr>
          <w:sz w:val="24"/>
          <w:szCs w:val="24"/>
        </w:rPr>
      </w:pPr>
      <w:r>
        <w:rPr>
          <w:color w:val="231F20"/>
          <w:spacing w:val="-3"/>
          <w:sz w:val="24"/>
          <w:szCs w:val="24"/>
        </w:rPr>
        <w:t>第七章</w:t>
      </w:r>
      <w:r>
        <w:rPr>
          <w:color w:val="231F20"/>
          <w:spacing w:val="19"/>
          <w:sz w:val="24"/>
          <w:szCs w:val="24"/>
        </w:rPr>
        <w:t xml:space="preserve">   </w:t>
      </w:r>
      <w:r>
        <w:rPr>
          <w:color w:val="231F20"/>
          <w:spacing w:val="-3"/>
          <w:sz w:val="24"/>
          <w:szCs w:val="24"/>
        </w:rPr>
        <w:t>市场风险的组织和报告</w:t>
      </w:r>
    </w:p>
    <w:p w14:paraId="7FE97C42">
      <w:pPr>
        <w:pStyle w:val="2"/>
        <w:spacing w:before="86" w:line="185" w:lineRule="auto"/>
        <w:ind w:left="2"/>
        <w:rPr>
          <w:sz w:val="22"/>
          <w:szCs w:val="22"/>
        </w:rPr>
      </w:pPr>
      <w:r>
        <w:rPr>
          <w:color w:val="231F20"/>
          <w:spacing w:val="-5"/>
          <w:sz w:val="22"/>
          <w:szCs w:val="22"/>
        </w:rPr>
        <w:t>完成本章阅读与学习后</w:t>
      </w:r>
      <w:r>
        <w:rPr>
          <w:color w:val="231F20"/>
          <w:spacing w:val="-25"/>
          <w:sz w:val="22"/>
          <w:szCs w:val="22"/>
        </w:rPr>
        <w:t xml:space="preserve"> </w:t>
      </w:r>
      <w:r>
        <w:rPr>
          <w:color w:val="231F20"/>
          <w:spacing w:val="-5"/>
          <w:sz w:val="22"/>
          <w:szCs w:val="22"/>
        </w:rPr>
        <w:t>，您应具备以下能力：</w:t>
      </w:r>
    </w:p>
    <w:p w14:paraId="527B4F89">
      <w:pPr>
        <w:pStyle w:val="2"/>
        <w:spacing w:before="35" w:line="190" w:lineRule="auto"/>
        <w:ind w:left="29"/>
      </w:pPr>
      <w:r>
        <w:rPr>
          <w:color w:val="231F20"/>
          <w:spacing w:val="4"/>
        </w:rPr>
        <w:t>•</w:t>
      </w:r>
      <w:r>
        <w:rPr>
          <w:color w:val="231F20"/>
          <w:spacing w:val="11"/>
        </w:rPr>
        <w:t xml:space="preserve">    </w:t>
      </w:r>
      <w:r>
        <w:rPr>
          <w:color w:val="231F20"/>
          <w:spacing w:val="4"/>
        </w:rPr>
        <w:t>描述市场风险的治理</w:t>
      </w:r>
    </w:p>
    <w:p w14:paraId="54B3A163">
      <w:pPr>
        <w:pStyle w:val="2"/>
        <w:spacing w:before="49" w:line="189" w:lineRule="auto"/>
        <w:ind w:left="29"/>
      </w:pPr>
      <w:r>
        <w:rPr>
          <w:color w:val="231F20"/>
          <w:spacing w:val="6"/>
        </w:rPr>
        <w:t>•</w:t>
      </w:r>
      <w:r>
        <w:rPr>
          <w:color w:val="231F20"/>
          <w:spacing w:val="10"/>
        </w:rPr>
        <w:t xml:space="preserve">    </w:t>
      </w:r>
      <w:r>
        <w:rPr>
          <w:color w:val="231F20"/>
          <w:spacing w:val="6"/>
        </w:rPr>
        <w:t>说明风险价值回溯检验的目的</w:t>
      </w:r>
    </w:p>
    <w:p w14:paraId="4296697A">
      <w:pPr>
        <w:pStyle w:val="2"/>
        <w:spacing w:before="10" w:line="229" w:lineRule="auto"/>
        <w:ind w:left="29"/>
      </w:pPr>
      <w:r>
        <w:rPr>
          <w:color w:val="231F20"/>
          <w:spacing w:val="6"/>
        </w:rPr>
        <w:t>•    评估借方估值修正（</w:t>
      </w:r>
      <w:r>
        <w:rPr>
          <w:color w:val="231F20"/>
          <w:spacing w:val="-18"/>
        </w:rPr>
        <w:t xml:space="preserve"> </w:t>
      </w:r>
      <w:r>
        <w:rPr>
          <w:color w:val="231F20"/>
        </w:rPr>
        <w:t>DVA</w:t>
      </w:r>
      <w:r>
        <w:rPr>
          <w:color w:val="231F20"/>
          <w:spacing w:val="6"/>
        </w:rPr>
        <w:t>）</w:t>
      </w:r>
      <w:r>
        <w:rPr>
          <w:color w:val="231F20"/>
          <w:spacing w:val="-34"/>
        </w:rPr>
        <w:t xml:space="preserve"> </w:t>
      </w:r>
      <w:r>
        <w:rPr>
          <w:color w:val="231F20"/>
          <w:spacing w:val="6"/>
        </w:rPr>
        <w:t>的无意影响</w:t>
      </w:r>
    </w:p>
    <w:p w14:paraId="4FB55A7E">
      <w:pPr>
        <w:pStyle w:val="2"/>
        <w:spacing w:before="27" w:line="190" w:lineRule="auto"/>
        <w:ind w:left="29"/>
      </w:pPr>
      <w:r>
        <w:rPr>
          <w:color w:val="231F20"/>
          <w:spacing w:val="6"/>
        </w:rPr>
        <w:t>•</w:t>
      </w:r>
      <w:r>
        <w:rPr>
          <w:color w:val="231F20"/>
          <w:spacing w:val="11"/>
        </w:rPr>
        <w:t xml:space="preserve">    </w:t>
      </w:r>
      <w:r>
        <w:rPr>
          <w:color w:val="231F20"/>
          <w:spacing w:val="6"/>
        </w:rPr>
        <w:t>推断损失报告和累计跌幅的意义</w:t>
      </w:r>
    </w:p>
    <w:p w14:paraId="777959E7">
      <w:pPr>
        <w:pStyle w:val="2"/>
        <w:spacing w:before="9" w:line="229" w:lineRule="auto"/>
        <w:ind w:left="29"/>
      </w:pPr>
      <w:r>
        <w:rPr>
          <w:color w:val="231F20"/>
          <w:spacing w:val="7"/>
        </w:rPr>
        <w:t>•    探究经济价值（</w:t>
      </w:r>
      <w:r>
        <w:rPr>
          <w:color w:val="231F20"/>
          <w:spacing w:val="-5"/>
        </w:rPr>
        <w:t xml:space="preserve"> </w:t>
      </w:r>
      <w:r>
        <w:rPr>
          <w:color w:val="231F20"/>
        </w:rPr>
        <w:t>EV</w:t>
      </w:r>
      <w:r>
        <w:rPr>
          <w:color w:val="231F20"/>
          <w:spacing w:val="7"/>
        </w:rPr>
        <w:t>）压力测试的缺点</w:t>
      </w:r>
    </w:p>
    <w:p w14:paraId="73F54B74">
      <w:pPr>
        <w:pStyle w:val="2"/>
        <w:spacing w:before="19" w:line="189" w:lineRule="auto"/>
        <w:ind w:left="29"/>
      </w:pPr>
      <w:r>
        <w:rPr>
          <w:color w:val="231F20"/>
          <w:spacing w:val="4"/>
        </w:rPr>
        <w:t>•</w:t>
      </w:r>
      <w:r>
        <w:rPr>
          <w:color w:val="231F20"/>
          <w:spacing w:val="13"/>
        </w:rPr>
        <w:t xml:space="preserve">    </w:t>
      </w:r>
      <w:r>
        <w:rPr>
          <w:color w:val="231F20"/>
          <w:spacing w:val="4"/>
        </w:rPr>
        <w:t>评估收益风险压力测试</w:t>
      </w:r>
    </w:p>
    <w:p w14:paraId="6A5A4EC9">
      <w:pPr>
        <w:pStyle w:val="2"/>
        <w:spacing w:before="40" w:line="189" w:lineRule="auto"/>
        <w:ind w:left="29"/>
      </w:pPr>
      <w:r>
        <w:rPr>
          <w:color w:val="231F20"/>
          <w:spacing w:val="5"/>
        </w:rPr>
        <w:t>•</w:t>
      </w:r>
      <w:r>
        <w:rPr>
          <w:color w:val="231F20"/>
          <w:spacing w:val="11"/>
        </w:rPr>
        <w:t xml:space="preserve">    </w:t>
      </w:r>
      <w:r>
        <w:rPr>
          <w:color w:val="231F20"/>
          <w:spacing w:val="5"/>
        </w:rPr>
        <w:t>描述模型风险的主要要素</w:t>
      </w:r>
    </w:p>
    <w:p w14:paraId="24A8AD8D">
      <w:pPr>
        <w:pStyle w:val="2"/>
        <w:spacing w:before="56" w:line="189" w:lineRule="auto"/>
        <w:ind w:left="29"/>
      </w:pPr>
      <w:r>
        <w:rPr>
          <w:color w:val="231F20"/>
          <w:spacing w:val="5"/>
        </w:rPr>
        <w:t>•</w:t>
      </w:r>
      <w:r>
        <w:rPr>
          <w:color w:val="231F20"/>
          <w:spacing w:val="11"/>
        </w:rPr>
        <w:t xml:space="preserve">    </w:t>
      </w:r>
      <w:r>
        <w:rPr>
          <w:color w:val="231F20"/>
          <w:spacing w:val="5"/>
        </w:rPr>
        <w:t>描述巨额敞口的风险识别</w:t>
      </w:r>
      <w:r>
        <w:rPr>
          <w:rFonts w:hint="eastAsia" w:ascii="微软雅黑" w:hAnsi="微软雅黑" w:eastAsia="微软雅黑" w:cs="微软雅黑"/>
          <w:sz w:val="71"/>
          <w:szCs w:val="71"/>
          <w:lang w:eastAsia="zh-CN"/>
        </w:rPr>
        <w:drawing>
          <wp:anchor distT="0" distB="0" distL="114300" distR="114300" simplePos="0" relativeHeight="251703296" behindDoc="0" locked="0" layoutInCell="1" allowOverlap="1">
            <wp:simplePos x="0" y="0"/>
            <wp:positionH relativeFrom="column">
              <wp:posOffset>-820420</wp:posOffset>
            </wp:positionH>
            <wp:positionV relativeFrom="paragraph">
              <wp:posOffset>5648325</wp:posOffset>
            </wp:positionV>
            <wp:extent cx="6795770" cy="384810"/>
            <wp:effectExtent l="0" t="0" r="1270" b="11430"/>
            <wp:wrapNone/>
            <wp:docPr id="23" name="图片 23" descr="文字文稿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文字文稿1_01"/>
                    <pic:cNvPicPr>
                      <a:picLocks noChangeAspect="1"/>
                    </pic:cNvPicPr>
                  </pic:nvPicPr>
                  <pic:blipFill>
                    <a:blip r:embed="rId36">
                      <a:lum contrast="6000"/>
                    </a:blip>
                    <a:srcRect t="96008"/>
                    <a:stretch>
                      <a:fillRect/>
                    </a:stretch>
                  </pic:blipFill>
                  <pic:spPr>
                    <a:xfrm>
                      <a:off x="0" y="0"/>
                      <a:ext cx="6795770" cy="384810"/>
                    </a:xfrm>
                    <a:prstGeom prst="rect">
                      <a:avLst/>
                    </a:prstGeom>
                  </pic:spPr>
                </pic:pic>
              </a:graphicData>
            </a:graphic>
          </wp:anchor>
        </w:drawing>
      </w:r>
    </w:p>
    <w:p w14:paraId="6A3A3D78">
      <w:pPr>
        <w:spacing w:line="189" w:lineRule="auto"/>
        <w:sectPr>
          <w:pgSz w:w="10660" w:h="15081"/>
          <w:pgMar w:top="1264" w:right="1167" w:bottom="325" w:left="1309" w:header="0" w:footer="0" w:gutter="0"/>
          <w:cols w:space="720" w:num="1"/>
        </w:sectPr>
      </w:pPr>
    </w:p>
    <w:p w14:paraId="66A66FAE">
      <w:pPr>
        <w:pStyle w:val="2"/>
        <w:spacing w:before="98" w:line="185" w:lineRule="auto"/>
        <w:ind w:left="411"/>
        <w:rPr>
          <w:sz w:val="49"/>
          <w:szCs w:val="49"/>
        </w:rPr>
      </w:pPr>
      <w:r>
        <w:rPr>
          <w:color w:val="7F7F7F"/>
          <w:spacing w:val="7"/>
          <w:sz w:val="49"/>
          <w:szCs w:val="49"/>
        </w:rPr>
        <w:t>操作风险管理</w:t>
      </w:r>
    </w:p>
    <w:p w14:paraId="075327B3">
      <w:pPr>
        <w:pStyle w:val="2"/>
        <w:spacing w:before="114" w:line="210" w:lineRule="auto"/>
        <w:ind w:left="405"/>
        <w:rPr>
          <w:sz w:val="28"/>
          <w:szCs w:val="28"/>
        </w:rPr>
      </w:pPr>
      <w:r>
        <w:rPr>
          <w:color w:val="231F20"/>
          <w:spacing w:val="-2"/>
          <w:sz w:val="28"/>
          <w:szCs w:val="28"/>
        </w:rPr>
        <w:t>考试内容占比</w:t>
      </w:r>
      <w:r>
        <w:rPr>
          <w:color w:val="231F20"/>
          <w:spacing w:val="40"/>
          <w:sz w:val="28"/>
          <w:szCs w:val="28"/>
        </w:rPr>
        <w:t xml:space="preserve"> </w:t>
      </w:r>
      <w:r>
        <w:rPr>
          <w:color w:val="231F20"/>
          <w:spacing w:val="-2"/>
          <w:sz w:val="28"/>
          <w:szCs w:val="28"/>
        </w:rPr>
        <w:t>|</w:t>
      </w:r>
      <w:r>
        <w:rPr>
          <w:color w:val="231F20"/>
          <w:spacing w:val="28"/>
          <w:sz w:val="28"/>
          <w:szCs w:val="28"/>
        </w:rPr>
        <w:t xml:space="preserve"> </w:t>
      </w:r>
      <w:r>
        <w:rPr>
          <w:color w:val="F05124"/>
          <w:spacing w:val="-2"/>
          <w:sz w:val="28"/>
          <w:szCs w:val="28"/>
        </w:rPr>
        <w:t>20%</w:t>
      </w:r>
    </w:p>
    <w:p w14:paraId="01792EF6">
      <w:pPr>
        <w:pStyle w:val="2"/>
        <w:spacing w:before="311" w:line="184" w:lineRule="auto"/>
        <w:ind w:left="409"/>
        <w:rPr>
          <w:sz w:val="22"/>
          <w:szCs w:val="22"/>
        </w:rPr>
      </w:pPr>
      <w:r>
        <w:rPr>
          <w:color w:val="231F20"/>
          <w:spacing w:val="-3"/>
          <w:sz w:val="22"/>
          <w:szCs w:val="22"/>
        </w:rPr>
        <w:t>您应在这一部分中重点阅读与学习的内容</w:t>
      </w:r>
      <w:r>
        <w:rPr>
          <w:color w:val="231F20"/>
          <w:spacing w:val="-32"/>
          <w:sz w:val="22"/>
          <w:szCs w:val="22"/>
        </w:rPr>
        <w:t xml:space="preserve"> </w:t>
      </w:r>
      <w:r>
        <w:rPr>
          <w:color w:val="231F20"/>
          <w:spacing w:val="-3"/>
          <w:sz w:val="22"/>
          <w:szCs w:val="22"/>
        </w:rPr>
        <w:t>，以及应达到的具体学习目标：</w:t>
      </w:r>
    </w:p>
    <w:p w14:paraId="4E32ACBF">
      <w:pPr>
        <w:pStyle w:val="2"/>
        <w:spacing w:before="336" w:line="184" w:lineRule="auto"/>
        <w:ind w:left="404"/>
        <w:rPr>
          <w:sz w:val="24"/>
          <w:szCs w:val="24"/>
        </w:rPr>
      </w:pPr>
      <w:r>
        <w:rPr>
          <w:color w:val="231F20"/>
          <w:spacing w:val="-2"/>
          <w:sz w:val="24"/>
          <w:szCs w:val="24"/>
        </w:rPr>
        <w:t>第一章</w:t>
      </w:r>
      <w:r>
        <w:rPr>
          <w:color w:val="231F20"/>
          <w:spacing w:val="13"/>
          <w:sz w:val="24"/>
          <w:szCs w:val="24"/>
        </w:rPr>
        <w:t xml:space="preserve">   </w:t>
      </w:r>
      <w:r>
        <w:rPr>
          <w:color w:val="231F20"/>
          <w:spacing w:val="-2"/>
          <w:sz w:val="24"/>
          <w:szCs w:val="24"/>
        </w:rPr>
        <w:t>操作风险管理</w:t>
      </w:r>
    </w:p>
    <w:p w14:paraId="7214CF9B">
      <w:pPr>
        <w:pStyle w:val="2"/>
        <w:spacing w:before="84" w:line="185" w:lineRule="auto"/>
        <w:ind w:left="404"/>
        <w:rPr>
          <w:sz w:val="22"/>
          <w:szCs w:val="22"/>
        </w:rPr>
      </w:pPr>
      <w:r>
        <w:rPr>
          <w:color w:val="231F20"/>
          <w:spacing w:val="-5"/>
          <w:sz w:val="22"/>
          <w:szCs w:val="22"/>
        </w:rPr>
        <w:t>完成本章阅读与学习后</w:t>
      </w:r>
      <w:r>
        <w:rPr>
          <w:color w:val="231F20"/>
          <w:spacing w:val="-25"/>
          <w:sz w:val="22"/>
          <w:szCs w:val="22"/>
        </w:rPr>
        <w:t xml:space="preserve"> </w:t>
      </w:r>
      <w:r>
        <w:rPr>
          <w:color w:val="231F20"/>
          <w:spacing w:val="-5"/>
          <w:sz w:val="22"/>
          <w:szCs w:val="22"/>
        </w:rPr>
        <w:t>，您应具备以下能力：</w:t>
      </w:r>
    </w:p>
    <w:p w14:paraId="56917617">
      <w:pPr>
        <w:pStyle w:val="2"/>
        <w:spacing w:before="36" w:line="189" w:lineRule="auto"/>
        <w:ind w:left="431"/>
      </w:pPr>
      <w:r>
        <w:rPr>
          <w:color w:val="231F20"/>
          <w:spacing w:val="7"/>
        </w:rPr>
        <w:t>•    描述操作风险在金融行业中的定义是什么</w:t>
      </w:r>
    </w:p>
    <w:p w14:paraId="2C936907">
      <w:pPr>
        <w:pStyle w:val="2"/>
        <w:spacing w:before="48" w:line="189" w:lineRule="auto"/>
        <w:ind w:left="431"/>
      </w:pPr>
      <w:r>
        <w:rPr>
          <w:color w:val="231F20"/>
          <w:spacing w:val="8"/>
        </w:rPr>
        <w:t>•    说明操作风险管理与其他类型风险</w:t>
      </w:r>
      <w:r>
        <w:rPr>
          <w:color w:val="231F20"/>
          <w:spacing w:val="7"/>
        </w:rPr>
        <w:t>之间的关系</w:t>
      </w:r>
    </w:p>
    <w:p w14:paraId="5D80079B">
      <w:pPr>
        <w:pStyle w:val="2"/>
        <w:spacing w:before="45" w:line="190" w:lineRule="auto"/>
        <w:ind w:left="431"/>
      </w:pPr>
      <w:r>
        <w:rPr>
          <w:color w:val="231F20"/>
          <w:spacing w:val="7"/>
        </w:rPr>
        <w:t>•    定义操作风险管理的核心目标</w:t>
      </w:r>
    </w:p>
    <w:p w14:paraId="1F8AAF02">
      <w:pPr>
        <w:pStyle w:val="2"/>
        <w:spacing w:before="45" w:line="190" w:lineRule="auto"/>
        <w:ind w:left="431"/>
      </w:pPr>
      <w:r>
        <w:rPr>
          <w:color w:val="231F20"/>
          <w:spacing w:val="6"/>
        </w:rPr>
        <w:t>•</w:t>
      </w:r>
      <w:r>
        <w:rPr>
          <w:color w:val="231F20"/>
          <w:spacing w:val="10"/>
        </w:rPr>
        <w:t xml:space="preserve">    </w:t>
      </w:r>
      <w:r>
        <w:rPr>
          <w:color w:val="231F20"/>
          <w:spacing w:val="6"/>
        </w:rPr>
        <w:t>识别成功计量操作风险的障碍</w:t>
      </w:r>
    </w:p>
    <w:p w14:paraId="1D701E9C">
      <w:pPr>
        <w:pStyle w:val="2"/>
        <w:spacing w:before="40" w:line="189" w:lineRule="auto"/>
        <w:ind w:left="431"/>
      </w:pPr>
      <w:r>
        <w:rPr>
          <w:color w:val="231F20"/>
          <w:spacing w:val="5"/>
        </w:rPr>
        <w:t>•</w:t>
      </w:r>
      <w:r>
        <w:rPr>
          <w:color w:val="231F20"/>
          <w:spacing w:val="10"/>
        </w:rPr>
        <w:t xml:space="preserve">    </w:t>
      </w:r>
      <w:r>
        <w:rPr>
          <w:color w:val="231F20"/>
          <w:spacing w:val="5"/>
        </w:rPr>
        <w:t>给予操作风险框架概览</w:t>
      </w:r>
    </w:p>
    <w:p w14:paraId="069DA5ED">
      <w:pPr>
        <w:pStyle w:val="2"/>
        <w:spacing w:before="47" w:line="190" w:lineRule="auto"/>
        <w:ind w:left="431"/>
      </w:pPr>
      <w:r>
        <w:rPr>
          <w:color w:val="231F20"/>
          <w:spacing w:val="7"/>
        </w:rPr>
        <w:t>•    确定谁来承担操作风险管理职能</w:t>
      </w:r>
    </w:p>
    <w:p w14:paraId="532E72FA">
      <w:pPr>
        <w:pStyle w:val="2"/>
        <w:spacing w:before="46" w:line="190" w:lineRule="auto"/>
        <w:ind w:left="431"/>
      </w:pPr>
      <w:r>
        <w:rPr>
          <w:color w:val="231F20"/>
          <w:spacing w:val="7"/>
        </w:rPr>
        <w:t>•    说明管理者在操作风险管理职能中的作用</w:t>
      </w:r>
    </w:p>
    <w:p w14:paraId="1CFACEF3">
      <w:pPr>
        <w:pStyle w:val="2"/>
        <w:spacing w:before="66" w:line="190" w:lineRule="auto"/>
        <w:ind w:left="431"/>
      </w:pPr>
      <w:r>
        <w:rPr>
          <w:color w:val="231F20"/>
          <w:spacing w:val="8"/>
        </w:rPr>
        <w:t>•    阐明为什么缺乏文化和意识是成功管理操作风险最大的阻碍</w:t>
      </w:r>
    </w:p>
    <w:p w14:paraId="3F33C3E0">
      <w:pPr>
        <w:pStyle w:val="2"/>
        <w:spacing w:before="203" w:line="184" w:lineRule="auto"/>
        <w:ind w:left="404"/>
        <w:rPr>
          <w:sz w:val="24"/>
          <w:szCs w:val="24"/>
        </w:rPr>
      </w:pPr>
      <w:r>
        <w:rPr>
          <w:color w:val="231F20"/>
          <w:spacing w:val="-2"/>
          <w:sz w:val="24"/>
          <w:szCs w:val="24"/>
        </w:rPr>
        <w:t>第二章</w:t>
      </w:r>
      <w:r>
        <w:rPr>
          <w:color w:val="231F20"/>
          <w:spacing w:val="15"/>
          <w:sz w:val="24"/>
          <w:szCs w:val="24"/>
        </w:rPr>
        <w:t xml:space="preserve">   </w:t>
      </w:r>
      <w:r>
        <w:rPr>
          <w:color w:val="231F20"/>
          <w:spacing w:val="-2"/>
          <w:sz w:val="24"/>
          <w:szCs w:val="24"/>
        </w:rPr>
        <w:t>操作风险：识别与评估</w:t>
      </w:r>
    </w:p>
    <w:p w14:paraId="0CB6D72F">
      <w:pPr>
        <w:pStyle w:val="2"/>
        <w:spacing w:before="84" w:line="185" w:lineRule="auto"/>
        <w:ind w:left="404"/>
        <w:rPr>
          <w:sz w:val="22"/>
          <w:szCs w:val="22"/>
        </w:rPr>
      </w:pPr>
      <w:r>
        <w:rPr>
          <w:color w:val="231F20"/>
          <w:spacing w:val="-5"/>
          <w:sz w:val="22"/>
          <w:szCs w:val="22"/>
        </w:rPr>
        <w:t>完成本章阅读与学习后</w:t>
      </w:r>
      <w:r>
        <w:rPr>
          <w:color w:val="231F20"/>
          <w:spacing w:val="-25"/>
          <w:sz w:val="22"/>
          <w:szCs w:val="22"/>
        </w:rPr>
        <w:t xml:space="preserve"> </w:t>
      </w:r>
      <w:r>
        <w:rPr>
          <w:color w:val="231F20"/>
          <w:spacing w:val="-5"/>
          <w:sz w:val="22"/>
          <w:szCs w:val="22"/>
        </w:rPr>
        <w:t>，您应具备以下能力：</w:t>
      </w:r>
    </w:p>
    <w:p w14:paraId="1564823E">
      <w:pPr>
        <w:pStyle w:val="2"/>
        <w:spacing w:before="48" w:line="182" w:lineRule="auto"/>
        <w:ind w:left="431"/>
      </w:pPr>
      <w:r>
        <w:rPr>
          <w:color w:val="231F20"/>
          <w:spacing w:val="4"/>
          <w:position w:val="1"/>
        </w:rPr>
        <w:t xml:space="preserve">•     </w:t>
      </w:r>
      <w:r>
        <w:rPr>
          <w:color w:val="231F20"/>
          <w:spacing w:val="4"/>
        </w:rPr>
        <w:t>区分固有风险、剩余风险和派生风险</w:t>
      </w:r>
    </w:p>
    <w:p w14:paraId="767297EE">
      <w:pPr>
        <w:pStyle w:val="2"/>
        <w:spacing w:before="49" w:line="189" w:lineRule="auto"/>
        <w:ind w:left="431"/>
      </w:pPr>
      <w:r>
        <w:rPr>
          <w:color w:val="231F20"/>
          <w:spacing w:val="5"/>
        </w:rPr>
        <w:t>•</w:t>
      </w:r>
      <w:r>
        <w:rPr>
          <w:color w:val="231F20"/>
          <w:spacing w:val="11"/>
        </w:rPr>
        <w:t xml:space="preserve">    </w:t>
      </w:r>
      <w:r>
        <w:rPr>
          <w:color w:val="231F20"/>
          <w:spacing w:val="5"/>
        </w:rPr>
        <w:t>评估完整的风险识别过程</w:t>
      </w:r>
    </w:p>
    <w:p w14:paraId="139DF515">
      <w:pPr>
        <w:pStyle w:val="2"/>
        <w:spacing w:before="49" w:line="189" w:lineRule="auto"/>
        <w:ind w:left="431"/>
      </w:pPr>
      <w:r>
        <w:rPr>
          <w:color w:val="231F20"/>
          <w:spacing w:val="5"/>
        </w:rPr>
        <w:t>•</w:t>
      </w:r>
      <w:r>
        <w:rPr>
          <w:color w:val="231F20"/>
          <w:spacing w:val="11"/>
        </w:rPr>
        <w:t xml:space="preserve">    </w:t>
      </w:r>
      <w:r>
        <w:rPr>
          <w:color w:val="231F20"/>
          <w:spacing w:val="5"/>
        </w:rPr>
        <w:t>说明风险登记单的目的</w:t>
      </w:r>
    </w:p>
    <w:p w14:paraId="78E8F40A">
      <w:pPr>
        <w:pStyle w:val="2"/>
        <w:spacing w:before="22" w:line="229" w:lineRule="auto"/>
        <w:ind w:left="431"/>
      </w:pPr>
      <w:r>
        <w:rPr>
          <w:color w:val="231F20"/>
          <w:spacing w:val="9"/>
        </w:rPr>
        <w:t>•    评估风险与控制自我评估（</w:t>
      </w:r>
      <w:r>
        <w:rPr>
          <w:color w:val="231F20"/>
        </w:rPr>
        <w:t xml:space="preserve"> RCSA</w:t>
      </w:r>
      <w:r>
        <w:rPr>
          <w:color w:val="231F20"/>
          <w:spacing w:val="9"/>
        </w:rPr>
        <w:t>）</w:t>
      </w:r>
      <w:r>
        <w:rPr>
          <w:color w:val="231F20"/>
          <w:spacing w:val="-32"/>
        </w:rPr>
        <w:t xml:space="preserve"> </w:t>
      </w:r>
      <w:r>
        <w:rPr>
          <w:color w:val="231F20"/>
          <w:spacing w:val="9"/>
        </w:rPr>
        <w:t>的优势与缺陷</w:t>
      </w:r>
    </w:p>
    <w:p w14:paraId="11667C37">
      <w:pPr>
        <w:pStyle w:val="2"/>
        <w:spacing w:before="1" w:line="229" w:lineRule="auto"/>
        <w:ind w:left="431"/>
      </w:pPr>
      <w:r>
        <w:rPr>
          <w:color w:val="231F20"/>
          <w:spacing w:val="9"/>
        </w:rPr>
        <w:t>•    说明风险与控制自我评估（</w:t>
      </w:r>
      <w:r>
        <w:rPr>
          <w:color w:val="231F20"/>
        </w:rPr>
        <w:t xml:space="preserve"> RCSA</w:t>
      </w:r>
      <w:r>
        <w:rPr>
          <w:color w:val="231F20"/>
          <w:spacing w:val="9"/>
        </w:rPr>
        <w:t>）</w:t>
      </w:r>
      <w:r>
        <w:rPr>
          <w:color w:val="231F20"/>
          <w:spacing w:val="-32"/>
        </w:rPr>
        <w:t xml:space="preserve"> </w:t>
      </w:r>
      <w:r>
        <w:rPr>
          <w:color w:val="231F20"/>
          <w:spacing w:val="9"/>
        </w:rPr>
        <w:t>的问卷调查法</w:t>
      </w:r>
    </w:p>
    <w:p w14:paraId="7FFE7CD8">
      <w:pPr>
        <w:pStyle w:val="2"/>
        <w:spacing w:before="4" w:line="229" w:lineRule="auto"/>
        <w:ind w:left="431"/>
      </w:pPr>
      <w:r>
        <w:rPr>
          <w:color w:val="231F20"/>
          <w:spacing w:val="9"/>
        </w:rPr>
        <w:t>•    探析风险与控制自我评估（</w:t>
      </w:r>
      <w:r>
        <w:rPr>
          <w:color w:val="231F20"/>
          <w:spacing w:val="-15"/>
        </w:rPr>
        <w:t xml:space="preserve"> </w:t>
      </w:r>
      <w:r>
        <w:rPr>
          <w:color w:val="231F20"/>
        </w:rPr>
        <w:t>RCSA</w:t>
      </w:r>
      <w:r>
        <w:rPr>
          <w:color w:val="231F20"/>
          <w:spacing w:val="9"/>
        </w:rPr>
        <w:t>）</w:t>
      </w:r>
      <w:r>
        <w:rPr>
          <w:color w:val="231F20"/>
          <w:spacing w:val="-32"/>
        </w:rPr>
        <w:t xml:space="preserve"> </w:t>
      </w:r>
      <w:r>
        <w:rPr>
          <w:color w:val="231F20"/>
          <w:spacing w:val="9"/>
        </w:rPr>
        <w:t>的专题讨论</w:t>
      </w:r>
      <w:r>
        <w:rPr>
          <w:rFonts w:hint="eastAsia"/>
          <w:color w:val="231F20"/>
          <w:spacing w:val="9"/>
          <w:lang w:eastAsia="zh-CN"/>
        </w:rPr>
        <w:t>方法</w:t>
      </w:r>
    </w:p>
    <w:p w14:paraId="47F580A9">
      <w:pPr>
        <w:pStyle w:val="2"/>
        <w:spacing w:before="9" w:line="229" w:lineRule="auto"/>
        <w:ind w:left="431"/>
      </w:pPr>
      <w:r>
        <w:rPr>
          <w:color w:val="231F20"/>
          <w:spacing w:val="9"/>
        </w:rPr>
        <w:t>•    比较风险与控制自我评估（</w:t>
      </w:r>
      <w:r>
        <w:rPr>
          <w:color w:val="231F20"/>
          <w:spacing w:val="-3"/>
        </w:rPr>
        <w:t xml:space="preserve"> </w:t>
      </w:r>
      <w:r>
        <w:rPr>
          <w:color w:val="231F20"/>
        </w:rPr>
        <w:t>RCSA</w:t>
      </w:r>
      <w:r>
        <w:rPr>
          <w:color w:val="231F20"/>
          <w:spacing w:val="9"/>
        </w:rPr>
        <w:t>）</w:t>
      </w:r>
      <w:r>
        <w:rPr>
          <w:color w:val="231F20"/>
          <w:spacing w:val="-32"/>
        </w:rPr>
        <w:t xml:space="preserve"> </w:t>
      </w:r>
      <w:r>
        <w:rPr>
          <w:color w:val="231F20"/>
          <w:spacing w:val="9"/>
        </w:rPr>
        <w:t>的评分方法</w:t>
      </w:r>
    </w:p>
    <w:p w14:paraId="64A30D6F">
      <w:pPr>
        <w:pStyle w:val="2"/>
        <w:spacing w:before="187" w:line="184" w:lineRule="auto"/>
        <w:ind w:left="404"/>
        <w:rPr>
          <w:sz w:val="24"/>
          <w:szCs w:val="24"/>
        </w:rPr>
      </w:pPr>
      <w:r>
        <w:rPr>
          <w:color w:val="231F20"/>
          <w:spacing w:val="-2"/>
          <w:sz w:val="24"/>
          <w:szCs w:val="24"/>
        </w:rPr>
        <w:t>第三章</w:t>
      </w:r>
      <w:r>
        <w:rPr>
          <w:color w:val="231F20"/>
          <w:spacing w:val="13"/>
          <w:sz w:val="24"/>
          <w:szCs w:val="24"/>
        </w:rPr>
        <w:t xml:space="preserve">   </w:t>
      </w:r>
      <w:r>
        <w:rPr>
          <w:color w:val="231F20"/>
          <w:spacing w:val="-2"/>
          <w:sz w:val="24"/>
          <w:szCs w:val="24"/>
        </w:rPr>
        <w:t>操作风险：计量</w:t>
      </w:r>
    </w:p>
    <w:p w14:paraId="37A3D9E3">
      <w:pPr>
        <w:pStyle w:val="2"/>
        <w:spacing w:before="84" w:line="185" w:lineRule="auto"/>
        <w:ind w:left="404"/>
        <w:rPr>
          <w:sz w:val="22"/>
          <w:szCs w:val="22"/>
        </w:rPr>
      </w:pPr>
      <w:r>
        <w:rPr>
          <w:color w:val="231F20"/>
          <w:spacing w:val="-5"/>
          <w:sz w:val="22"/>
          <w:szCs w:val="22"/>
        </w:rPr>
        <w:t>完成本章阅读与学习后</w:t>
      </w:r>
      <w:r>
        <w:rPr>
          <w:color w:val="231F20"/>
          <w:spacing w:val="-25"/>
          <w:sz w:val="22"/>
          <w:szCs w:val="22"/>
        </w:rPr>
        <w:t xml:space="preserve"> </w:t>
      </w:r>
      <w:r>
        <w:rPr>
          <w:color w:val="231F20"/>
          <w:spacing w:val="-5"/>
          <w:sz w:val="22"/>
          <w:szCs w:val="22"/>
        </w:rPr>
        <w:t>，您应具备以下能力：</w:t>
      </w:r>
    </w:p>
    <w:p w14:paraId="504C1C01">
      <w:pPr>
        <w:pStyle w:val="2"/>
        <w:spacing w:before="39" w:line="189" w:lineRule="auto"/>
        <w:ind w:left="431"/>
      </w:pPr>
      <w:r>
        <w:rPr>
          <w:color w:val="231F20"/>
          <w:spacing w:val="2"/>
        </w:rPr>
        <w:t>•     区分预期和非预期损失</w:t>
      </w:r>
    </w:p>
    <w:p w14:paraId="4FA23390">
      <w:pPr>
        <w:pStyle w:val="2"/>
        <w:spacing w:before="49" w:line="189" w:lineRule="auto"/>
        <w:ind w:left="431"/>
      </w:pPr>
      <w:r>
        <w:rPr>
          <w:color w:val="231F20"/>
          <w:spacing w:val="4"/>
        </w:rPr>
        <w:t>•</w:t>
      </w:r>
      <w:r>
        <w:rPr>
          <w:color w:val="231F20"/>
          <w:spacing w:val="13"/>
        </w:rPr>
        <w:t xml:space="preserve">    </w:t>
      </w:r>
      <w:r>
        <w:rPr>
          <w:color w:val="231F20"/>
          <w:spacing w:val="4"/>
        </w:rPr>
        <w:t>量化操作风险损失数据</w:t>
      </w:r>
    </w:p>
    <w:p w14:paraId="3CB205C3">
      <w:pPr>
        <w:pStyle w:val="2"/>
        <w:spacing w:before="57" w:line="190" w:lineRule="auto"/>
        <w:ind w:left="431"/>
      </w:pPr>
      <w:r>
        <w:rPr>
          <w:color w:val="231F20"/>
          <w:spacing w:val="7"/>
        </w:rPr>
        <w:t>•    识别损失数据程序应该收集什么</w:t>
      </w:r>
    </w:p>
    <w:p w14:paraId="7B14CF0D">
      <w:pPr>
        <w:pStyle w:val="2"/>
        <w:spacing w:before="61" w:line="189" w:lineRule="auto"/>
        <w:ind w:left="431"/>
      </w:pPr>
      <w:r>
        <w:rPr>
          <w:color w:val="231F20"/>
          <w:spacing w:val="6"/>
        </w:rPr>
        <w:t>•</w:t>
      </w:r>
      <w:r>
        <w:rPr>
          <w:color w:val="231F20"/>
          <w:spacing w:val="9"/>
        </w:rPr>
        <w:t xml:space="preserve">    </w:t>
      </w:r>
      <w:r>
        <w:rPr>
          <w:color w:val="231F20"/>
          <w:spacing w:val="6"/>
        </w:rPr>
        <w:t>评估外部损失事件数据来源</w:t>
      </w:r>
    </w:p>
    <w:p w14:paraId="732A9545">
      <w:pPr>
        <w:pStyle w:val="2"/>
        <w:spacing w:before="51" w:line="189" w:lineRule="auto"/>
        <w:ind w:left="431"/>
      </w:pPr>
      <w:r>
        <w:rPr>
          <w:color w:val="231F20"/>
          <w:spacing w:val="5"/>
        </w:rPr>
        <w:t>•</w:t>
      </w:r>
      <w:r>
        <w:rPr>
          <w:color w:val="231F20"/>
          <w:spacing w:val="12"/>
        </w:rPr>
        <w:t xml:space="preserve">    </w:t>
      </w:r>
      <w:r>
        <w:rPr>
          <w:color w:val="231F20"/>
          <w:spacing w:val="5"/>
        </w:rPr>
        <w:t>设计单个的情景分析方法</w:t>
      </w:r>
    </w:p>
    <w:p w14:paraId="171EFD33">
      <w:pPr>
        <w:pStyle w:val="2"/>
        <w:spacing w:before="19" w:line="222" w:lineRule="auto"/>
        <w:ind w:left="431"/>
      </w:pPr>
      <w:r>
        <w:rPr>
          <w:color w:val="231F20"/>
          <w:spacing w:val="4"/>
          <w:position w:val="1"/>
        </w:rPr>
        <w:t>•</w:t>
      </w:r>
      <w:r>
        <w:rPr>
          <w:color w:val="231F20"/>
          <w:spacing w:val="11"/>
          <w:position w:val="1"/>
        </w:rPr>
        <w:t xml:space="preserve">    </w:t>
      </w:r>
      <w:r>
        <w:rPr>
          <w:color w:val="231F20"/>
          <w:spacing w:val="4"/>
        </w:rPr>
        <w:t>描述巴塞尔基本指标法（</w:t>
      </w:r>
      <w:r>
        <w:rPr>
          <w:color w:val="231F20"/>
          <w:spacing w:val="-18"/>
        </w:rPr>
        <w:t xml:space="preserve"> </w:t>
      </w:r>
      <w:r>
        <w:rPr>
          <w:color w:val="231F20"/>
        </w:rPr>
        <w:t>BI</w:t>
      </w:r>
      <w:r>
        <w:rPr>
          <w:color w:val="231F20"/>
          <w:spacing w:val="4"/>
        </w:rPr>
        <w:t>）</w:t>
      </w:r>
    </w:p>
    <w:p w14:paraId="4BA7D687">
      <w:pPr>
        <w:pStyle w:val="2"/>
        <w:spacing w:before="4" w:line="222" w:lineRule="auto"/>
        <w:ind w:left="431"/>
      </w:pPr>
      <w:r>
        <w:rPr>
          <w:color w:val="231F20"/>
          <w:spacing w:val="7"/>
          <w:position w:val="1"/>
        </w:rPr>
        <w:t xml:space="preserve">•    </w:t>
      </w:r>
      <w:r>
        <w:rPr>
          <w:color w:val="231F20"/>
          <w:spacing w:val="7"/>
        </w:rPr>
        <w:t>使用标准法（</w:t>
      </w:r>
      <w:r>
        <w:rPr>
          <w:color w:val="231F20"/>
          <w:spacing w:val="-21"/>
        </w:rPr>
        <w:t xml:space="preserve"> </w:t>
      </w:r>
      <w:r>
        <w:rPr>
          <w:color w:val="231F20"/>
        </w:rPr>
        <w:t>SA</w:t>
      </w:r>
      <w:r>
        <w:rPr>
          <w:color w:val="231F20"/>
          <w:spacing w:val="7"/>
        </w:rPr>
        <w:t>）计算操作风险资本</w:t>
      </w:r>
    </w:p>
    <w:p w14:paraId="7847D481">
      <w:pPr>
        <w:pStyle w:val="2"/>
        <w:spacing w:before="2" w:line="229" w:lineRule="auto"/>
        <w:ind w:left="431"/>
      </w:pPr>
      <w:r>
        <w:rPr>
          <w:color w:val="231F20"/>
          <w:spacing w:val="7"/>
        </w:rPr>
        <w:t>•    评估替代标准法（</w:t>
      </w:r>
      <w:r>
        <w:rPr>
          <w:color w:val="231F20"/>
          <w:spacing w:val="-32"/>
        </w:rPr>
        <w:t xml:space="preserve"> </w:t>
      </w:r>
      <w:r>
        <w:rPr>
          <w:color w:val="231F20"/>
        </w:rPr>
        <w:t>ASA</w:t>
      </w:r>
      <w:r>
        <w:rPr>
          <w:color w:val="231F20"/>
          <w:spacing w:val="7"/>
        </w:rPr>
        <w:t>）</w:t>
      </w:r>
      <w:r>
        <w:rPr>
          <w:color w:val="231F20"/>
          <w:spacing w:val="-32"/>
        </w:rPr>
        <w:t xml:space="preserve"> </w:t>
      </w:r>
      <w:r>
        <w:rPr>
          <w:color w:val="231F20"/>
          <w:spacing w:val="7"/>
        </w:rPr>
        <w:t>的有效性</w:t>
      </w:r>
    </w:p>
    <w:p w14:paraId="3E0940C8">
      <w:pPr>
        <w:pStyle w:val="2"/>
        <w:spacing w:before="1" w:line="229" w:lineRule="auto"/>
        <w:ind w:left="431"/>
      </w:pPr>
      <w:r>
        <w:rPr>
          <w:color w:val="231F20"/>
          <w:spacing w:val="7"/>
        </w:rPr>
        <w:t>•    说明高级计量法（</w:t>
      </w:r>
      <w:r>
        <w:rPr>
          <w:color w:val="231F20"/>
        </w:rPr>
        <w:t>AMA</w:t>
      </w:r>
      <w:r>
        <w:rPr>
          <w:color w:val="231F20"/>
          <w:spacing w:val="7"/>
        </w:rPr>
        <w:t>）的缺点</w:t>
      </w:r>
    </w:p>
    <w:p w14:paraId="36D68B14">
      <w:pPr>
        <w:pStyle w:val="2"/>
        <w:spacing w:before="54" w:line="183" w:lineRule="auto"/>
        <w:ind w:left="431"/>
      </w:pPr>
      <w:r>
        <w:rPr>
          <w:color w:val="231F20"/>
          <w:spacing w:val="7"/>
          <w:position w:val="1"/>
        </w:rPr>
        <w:t xml:space="preserve">•    </w:t>
      </w:r>
      <w:r>
        <w:rPr>
          <w:color w:val="231F20"/>
          <w:spacing w:val="7"/>
        </w:rPr>
        <w:t>理解如何对操作风险资本进行建模</w:t>
      </w:r>
      <w:r>
        <w:rPr>
          <w:rFonts w:hint="eastAsia" w:ascii="微软雅黑" w:hAnsi="微软雅黑" w:eastAsia="微软雅黑" w:cs="微软雅黑"/>
          <w:sz w:val="71"/>
          <w:szCs w:val="71"/>
          <w:lang w:eastAsia="zh-CN"/>
        </w:rPr>
        <w:drawing>
          <wp:anchor distT="0" distB="0" distL="114300" distR="114300" simplePos="0" relativeHeight="251704320" behindDoc="0" locked="0" layoutInCell="1" allowOverlap="1">
            <wp:simplePos x="0" y="0"/>
            <wp:positionH relativeFrom="column">
              <wp:posOffset>-457200</wp:posOffset>
            </wp:positionH>
            <wp:positionV relativeFrom="paragraph">
              <wp:posOffset>514985</wp:posOffset>
            </wp:positionV>
            <wp:extent cx="6795770" cy="384810"/>
            <wp:effectExtent l="0" t="0" r="1270" b="11430"/>
            <wp:wrapNone/>
            <wp:docPr id="25" name="图片 25" descr="文字文稿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文字文稿1_01"/>
                    <pic:cNvPicPr>
                      <a:picLocks noChangeAspect="1"/>
                    </pic:cNvPicPr>
                  </pic:nvPicPr>
                  <pic:blipFill>
                    <a:blip r:embed="rId36">
                      <a:lum contrast="6000"/>
                    </a:blip>
                    <a:srcRect t="96008"/>
                    <a:stretch>
                      <a:fillRect/>
                    </a:stretch>
                  </pic:blipFill>
                  <pic:spPr>
                    <a:xfrm>
                      <a:off x="0" y="0"/>
                      <a:ext cx="6795770" cy="384810"/>
                    </a:xfrm>
                    <a:prstGeom prst="rect">
                      <a:avLst/>
                    </a:prstGeom>
                  </pic:spPr>
                </pic:pic>
              </a:graphicData>
            </a:graphic>
          </wp:anchor>
        </w:drawing>
      </w:r>
    </w:p>
    <w:p w14:paraId="74C70504">
      <w:pPr>
        <w:spacing w:line="245" w:lineRule="auto"/>
        <w:rPr>
          <w:rFonts w:ascii="Arial"/>
          <w:sz w:val="21"/>
        </w:rPr>
      </w:pPr>
    </w:p>
    <w:p w14:paraId="728D56FA">
      <w:pPr>
        <w:spacing w:line="245" w:lineRule="auto"/>
        <w:rPr>
          <w:rFonts w:ascii="Arial"/>
          <w:sz w:val="21"/>
        </w:rPr>
      </w:pPr>
    </w:p>
    <w:p w14:paraId="10D2352A">
      <w:pPr>
        <w:spacing w:line="246" w:lineRule="auto"/>
        <w:rPr>
          <w:rFonts w:ascii="Arial"/>
          <w:sz w:val="21"/>
        </w:rPr>
      </w:pPr>
    </w:p>
    <w:p w14:paraId="5F1C11B8">
      <w:pPr>
        <w:spacing w:line="128" w:lineRule="exact"/>
        <w:rPr>
          <w:sz w:val="18"/>
          <w:szCs w:val="18"/>
        </w:rPr>
        <w:sectPr>
          <w:footerReference r:id="rId19" w:type="default"/>
          <w:pgSz w:w="10660" w:h="15081"/>
          <w:pgMar w:top="1246" w:right="1598" w:bottom="82" w:left="737" w:header="0" w:footer="0" w:gutter="0"/>
          <w:cols w:space="720" w:num="1"/>
        </w:sectPr>
      </w:pPr>
    </w:p>
    <w:p w14:paraId="7E4723EF">
      <w:pPr>
        <w:pStyle w:val="2"/>
        <w:spacing w:before="47" w:line="184" w:lineRule="auto"/>
        <w:rPr>
          <w:sz w:val="24"/>
          <w:szCs w:val="24"/>
        </w:rPr>
      </w:pPr>
      <w:r>
        <w:rPr>
          <w:color w:val="231F20"/>
          <w:spacing w:val="-2"/>
          <w:sz w:val="24"/>
          <w:szCs w:val="24"/>
        </w:rPr>
        <w:t>第四章</w:t>
      </w:r>
      <w:r>
        <w:rPr>
          <w:color w:val="231F20"/>
          <w:spacing w:val="15"/>
          <w:sz w:val="24"/>
          <w:szCs w:val="24"/>
        </w:rPr>
        <w:t xml:space="preserve">   </w:t>
      </w:r>
      <w:r>
        <w:rPr>
          <w:color w:val="231F20"/>
          <w:spacing w:val="-2"/>
          <w:sz w:val="24"/>
          <w:szCs w:val="24"/>
        </w:rPr>
        <w:t>操作风险：缓释与控制</w:t>
      </w:r>
    </w:p>
    <w:p w14:paraId="0E824024">
      <w:pPr>
        <w:pStyle w:val="2"/>
        <w:spacing w:before="84" w:line="185" w:lineRule="auto"/>
        <w:ind w:left="2"/>
        <w:rPr>
          <w:sz w:val="22"/>
          <w:szCs w:val="22"/>
        </w:rPr>
      </w:pPr>
      <w:r>
        <w:rPr>
          <w:color w:val="231F20"/>
          <w:spacing w:val="-5"/>
          <w:sz w:val="22"/>
          <w:szCs w:val="22"/>
        </w:rPr>
        <w:t>完成本章阅读与学习后</w:t>
      </w:r>
      <w:r>
        <w:rPr>
          <w:color w:val="231F20"/>
          <w:spacing w:val="-25"/>
          <w:sz w:val="22"/>
          <w:szCs w:val="22"/>
        </w:rPr>
        <w:t xml:space="preserve"> </w:t>
      </w:r>
      <w:r>
        <w:rPr>
          <w:color w:val="231F20"/>
          <w:spacing w:val="-5"/>
          <w:sz w:val="22"/>
          <w:szCs w:val="22"/>
        </w:rPr>
        <w:t>，您应具备以下能力：</w:t>
      </w:r>
    </w:p>
    <w:p w14:paraId="34D91280">
      <w:pPr>
        <w:pStyle w:val="2"/>
        <w:spacing w:before="45" w:line="189" w:lineRule="auto"/>
        <w:ind w:left="29"/>
      </w:pPr>
      <w:r>
        <w:rPr>
          <w:color w:val="231F20"/>
          <w:spacing w:val="6"/>
        </w:rPr>
        <w:t>•    定义操作风险缓释的关键目标</w:t>
      </w:r>
    </w:p>
    <w:p w14:paraId="726C4556">
      <w:pPr>
        <w:pStyle w:val="2"/>
        <w:spacing w:before="60" w:line="189" w:lineRule="auto"/>
        <w:ind w:left="29"/>
      </w:pPr>
      <w:r>
        <w:rPr>
          <w:color w:val="231F20"/>
          <w:spacing w:val="6"/>
        </w:rPr>
        <w:t>•</w:t>
      </w:r>
      <w:r>
        <w:rPr>
          <w:color w:val="231F20"/>
          <w:spacing w:val="10"/>
        </w:rPr>
        <w:t xml:space="preserve">    </w:t>
      </w:r>
      <w:r>
        <w:rPr>
          <w:color w:val="231F20"/>
          <w:spacing w:val="6"/>
        </w:rPr>
        <w:t>说明“三道防线”的工作原理</w:t>
      </w:r>
    </w:p>
    <w:p w14:paraId="60546A7E">
      <w:pPr>
        <w:pStyle w:val="2"/>
        <w:spacing w:before="49" w:line="189" w:lineRule="auto"/>
        <w:ind w:left="29"/>
      </w:pPr>
      <w:r>
        <w:rPr>
          <w:color w:val="231F20"/>
          <w:spacing w:val="5"/>
        </w:rPr>
        <w:t>•</w:t>
      </w:r>
      <w:r>
        <w:rPr>
          <w:color w:val="231F20"/>
          <w:spacing w:val="11"/>
        </w:rPr>
        <w:t xml:space="preserve">    </w:t>
      </w:r>
      <w:r>
        <w:rPr>
          <w:color w:val="231F20"/>
          <w:spacing w:val="5"/>
        </w:rPr>
        <w:t>说明关于风险偏好的要素</w:t>
      </w:r>
    </w:p>
    <w:p w14:paraId="66BD8BE9">
      <w:pPr>
        <w:pStyle w:val="2"/>
        <w:spacing w:before="58" w:line="189" w:lineRule="auto"/>
        <w:ind w:left="29"/>
      </w:pPr>
      <w:r>
        <w:rPr>
          <w:color w:val="231F20"/>
          <w:spacing w:val="5"/>
        </w:rPr>
        <w:t>•</w:t>
      </w:r>
      <w:r>
        <w:rPr>
          <w:color w:val="231F20"/>
          <w:spacing w:val="12"/>
        </w:rPr>
        <w:t xml:space="preserve">    </w:t>
      </w:r>
      <w:r>
        <w:rPr>
          <w:color w:val="231F20"/>
          <w:spacing w:val="5"/>
        </w:rPr>
        <w:t>说明尽职调查的要素和目标</w:t>
      </w:r>
    </w:p>
    <w:p w14:paraId="4724D30C">
      <w:pPr>
        <w:pStyle w:val="2"/>
        <w:spacing w:before="61" w:line="189" w:lineRule="auto"/>
        <w:ind w:left="29"/>
      </w:pPr>
      <w:r>
        <w:rPr>
          <w:color w:val="231F20"/>
          <w:spacing w:val="7"/>
        </w:rPr>
        <w:t>•    描述操作风险保险的益处和缺点</w:t>
      </w:r>
    </w:p>
    <w:p w14:paraId="77F8714D">
      <w:pPr>
        <w:pStyle w:val="2"/>
        <w:spacing w:before="57" w:line="190" w:lineRule="auto"/>
        <w:ind w:left="29"/>
      </w:pPr>
      <w:r>
        <w:rPr>
          <w:color w:val="231F20"/>
          <w:spacing w:val="8"/>
        </w:rPr>
        <w:t>•    评估外包、供应商和第三方风险所需的额外控制措施</w:t>
      </w:r>
    </w:p>
    <w:p w14:paraId="3037DE3C">
      <w:pPr>
        <w:pStyle w:val="2"/>
        <w:spacing w:before="27" w:line="229" w:lineRule="auto"/>
        <w:ind w:left="29"/>
      </w:pPr>
      <w:r>
        <w:rPr>
          <w:color w:val="231F20"/>
          <w:spacing w:val="10"/>
        </w:rPr>
        <w:t>•    理解治理、风险和合规（</w:t>
      </w:r>
      <w:r>
        <w:rPr>
          <w:color w:val="231F20"/>
          <w:spacing w:val="-28"/>
        </w:rPr>
        <w:t xml:space="preserve"> </w:t>
      </w:r>
      <w:r>
        <w:rPr>
          <w:color w:val="231F20"/>
        </w:rPr>
        <w:t>GRC</w:t>
      </w:r>
      <w:r>
        <w:rPr>
          <w:color w:val="231F20"/>
          <w:spacing w:val="10"/>
        </w:rPr>
        <w:t>）如何整合为</w:t>
      </w:r>
      <w:r>
        <w:rPr>
          <w:color w:val="231F20"/>
          <w:spacing w:val="9"/>
        </w:rPr>
        <w:t>操作风险管理活动</w:t>
      </w:r>
    </w:p>
    <w:p w14:paraId="65717966">
      <w:pPr>
        <w:pStyle w:val="2"/>
        <w:spacing w:before="187" w:line="184" w:lineRule="auto"/>
        <w:rPr>
          <w:sz w:val="24"/>
          <w:szCs w:val="24"/>
        </w:rPr>
      </w:pPr>
      <w:r>
        <w:rPr>
          <w:color w:val="231F20"/>
          <w:spacing w:val="-2"/>
          <w:sz w:val="24"/>
          <w:szCs w:val="24"/>
        </w:rPr>
        <w:t>第五章</w:t>
      </w:r>
      <w:r>
        <w:rPr>
          <w:color w:val="231F20"/>
          <w:spacing w:val="15"/>
          <w:sz w:val="24"/>
          <w:szCs w:val="24"/>
        </w:rPr>
        <w:t xml:space="preserve">   </w:t>
      </w:r>
      <w:r>
        <w:rPr>
          <w:color w:val="231F20"/>
          <w:spacing w:val="-2"/>
          <w:sz w:val="24"/>
          <w:szCs w:val="24"/>
        </w:rPr>
        <w:t>操作风险：监控和报告</w:t>
      </w:r>
    </w:p>
    <w:p w14:paraId="1A65A28E">
      <w:pPr>
        <w:pStyle w:val="2"/>
        <w:spacing w:before="87" w:line="185" w:lineRule="auto"/>
        <w:ind w:left="2"/>
        <w:rPr>
          <w:sz w:val="22"/>
          <w:szCs w:val="22"/>
        </w:rPr>
      </w:pPr>
      <w:r>
        <w:rPr>
          <w:color w:val="231F20"/>
          <w:spacing w:val="-5"/>
          <w:sz w:val="22"/>
          <w:szCs w:val="22"/>
        </w:rPr>
        <w:t>完成本章阅读与学习后</w:t>
      </w:r>
      <w:r>
        <w:rPr>
          <w:color w:val="231F20"/>
          <w:spacing w:val="-25"/>
          <w:sz w:val="22"/>
          <w:szCs w:val="22"/>
        </w:rPr>
        <w:t xml:space="preserve"> </w:t>
      </w:r>
      <w:r>
        <w:rPr>
          <w:color w:val="231F20"/>
          <w:spacing w:val="-5"/>
          <w:sz w:val="22"/>
          <w:szCs w:val="22"/>
        </w:rPr>
        <w:t>，您应具备以下能力：</w:t>
      </w:r>
    </w:p>
    <w:p w14:paraId="4D8E60F7">
      <w:pPr>
        <w:pStyle w:val="2"/>
        <w:spacing w:before="9" w:line="222" w:lineRule="auto"/>
        <w:ind w:left="29"/>
      </w:pPr>
      <w:r>
        <w:rPr>
          <w:color w:val="231F20"/>
          <w:spacing w:val="7"/>
          <w:position w:val="1"/>
        </w:rPr>
        <w:t xml:space="preserve">•    </w:t>
      </w:r>
      <w:r>
        <w:rPr>
          <w:color w:val="231F20"/>
          <w:spacing w:val="7"/>
        </w:rPr>
        <w:t>定义操作风险的关键风险指标（</w:t>
      </w:r>
      <w:r>
        <w:rPr>
          <w:color w:val="231F20"/>
          <w:spacing w:val="-12"/>
        </w:rPr>
        <w:t xml:space="preserve"> </w:t>
      </w:r>
      <w:r>
        <w:rPr>
          <w:color w:val="231F20"/>
        </w:rPr>
        <w:t>KRI</w:t>
      </w:r>
      <w:r>
        <w:rPr>
          <w:color w:val="231F20"/>
          <w:spacing w:val="7"/>
        </w:rPr>
        <w:t>）</w:t>
      </w:r>
    </w:p>
    <w:p w14:paraId="285D033E">
      <w:pPr>
        <w:pStyle w:val="2"/>
        <w:spacing w:before="28" w:line="189" w:lineRule="auto"/>
        <w:ind w:left="29"/>
      </w:pPr>
      <w:r>
        <w:rPr>
          <w:color w:val="231F20"/>
          <w:spacing w:val="4"/>
        </w:rPr>
        <w:t>•</w:t>
      </w:r>
      <w:r>
        <w:rPr>
          <w:color w:val="231F20"/>
          <w:spacing w:val="9"/>
        </w:rPr>
        <w:t xml:space="preserve">    </w:t>
      </w:r>
      <w:r>
        <w:rPr>
          <w:color w:val="231F20"/>
          <w:spacing w:val="4"/>
        </w:rPr>
        <w:t>识别关键绩效指标</w:t>
      </w:r>
    </w:p>
    <w:p w14:paraId="74E900FE">
      <w:pPr>
        <w:pStyle w:val="2"/>
        <w:spacing w:before="52" w:line="189" w:lineRule="auto"/>
        <w:ind w:left="29"/>
      </w:pPr>
      <w:r>
        <w:rPr>
          <w:color w:val="231F20"/>
          <w:spacing w:val="2"/>
        </w:rPr>
        <w:t>•</w:t>
      </w:r>
      <w:r>
        <w:rPr>
          <w:color w:val="231F20"/>
          <w:spacing w:val="15"/>
          <w:w w:val="101"/>
        </w:rPr>
        <w:t xml:space="preserve">    </w:t>
      </w:r>
      <w:r>
        <w:rPr>
          <w:color w:val="231F20"/>
          <w:spacing w:val="2"/>
        </w:rPr>
        <w:t>阐明关键控制指标</w:t>
      </w:r>
    </w:p>
    <w:p w14:paraId="68BCF5D6">
      <w:pPr>
        <w:pStyle w:val="2"/>
        <w:spacing w:before="19" w:line="229" w:lineRule="auto"/>
        <w:ind w:left="29"/>
      </w:pPr>
      <w:r>
        <w:rPr>
          <w:color w:val="231F20"/>
          <w:spacing w:val="6"/>
        </w:rPr>
        <w:t>•    描述关键风险指标（</w:t>
      </w:r>
      <w:r>
        <w:rPr>
          <w:color w:val="231F20"/>
          <w:spacing w:val="-3"/>
        </w:rPr>
        <w:t xml:space="preserve"> </w:t>
      </w:r>
      <w:r>
        <w:rPr>
          <w:color w:val="231F20"/>
        </w:rPr>
        <w:t>KRI</w:t>
      </w:r>
      <w:r>
        <w:rPr>
          <w:color w:val="231F20"/>
          <w:spacing w:val="6"/>
        </w:rPr>
        <w:t>）</w:t>
      </w:r>
      <w:r>
        <w:rPr>
          <w:color w:val="231F20"/>
          <w:spacing w:val="-36"/>
        </w:rPr>
        <w:t xml:space="preserve"> </w:t>
      </w:r>
      <w:r>
        <w:rPr>
          <w:color w:val="231F20"/>
          <w:spacing w:val="6"/>
        </w:rPr>
        <w:t>的不同类型</w:t>
      </w:r>
    </w:p>
    <w:p w14:paraId="0D1333FA">
      <w:pPr>
        <w:pStyle w:val="2"/>
        <w:spacing w:before="33" w:line="189" w:lineRule="auto"/>
        <w:ind w:left="29"/>
      </w:pPr>
      <w:r>
        <w:rPr>
          <w:color w:val="231F20"/>
          <w:spacing w:val="4"/>
        </w:rPr>
        <w:t>•</w:t>
      </w:r>
      <w:r>
        <w:rPr>
          <w:color w:val="231F20"/>
          <w:spacing w:val="9"/>
        </w:rPr>
        <w:t xml:space="preserve">    </w:t>
      </w:r>
      <w:r>
        <w:rPr>
          <w:color w:val="231F20"/>
          <w:spacing w:val="4"/>
        </w:rPr>
        <w:t>评估损失数据报告</w:t>
      </w:r>
    </w:p>
    <w:p w14:paraId="2103B894">
      <w:pPr>
        <w:pStyle w:val="2"/>
        <w:spacing w:before="48" w:line="190" w:lineRule="auto"/>
        <w:ind w:left="29"/>
      </w:pPr>
      <w:r>
        <w:rPr>
          <w:color w:val="231F20"/>
          <w:spacing w:val="4"/>
        </w:rPr>
        <w:t>•</w:t>
      </w:r>
      <w:r>
        <w:rPr>
          <w:color w:val="231F20"/>
          <w:spacing w:val="9"/>
        </w:rPr>
        <w:t xml:space="preserve">    </w:t>
      </w:r>
      <w:r>
        <w:rPr>
          <w:color w:val="231F20"/>
          <w:spacing w:val="4"/>
        </w:rPr>
        <w:t>分析行动跟踪报告</w:t>
      </w:r>
    </w:p>
    <w:p w14:paraId="0BC30E9F">
      <w:pPr>
        <w:pStyle w:val="2"/>
        <w:spacing w:before="19" w:line="229" w:lineRule="auto"/>
        <w:ind w:left="29"/>
      </w:pPr>
      <w:r>
        <w:rPr>
          <w:color w:val="231F20"/>
          <w:spacing w:val="9"/>
        </w:rPr>
        <w:t>•    说明风险与控制自我评估（</w:t>
      </w:r>
      <w:r>
        <w:rPr>
          <w:color w:val="231F20"/>
          <w:spacing w:val="-13"/>
        </w:rPr>
        <w:t xml:space="preserve"> </w:t>
      </w:r>
      <w:r>
        <w:rPr>
          <w:color w:val="231F20"/>
        </w:rPr>
        <w:t>RCSA</w:t>
      </w:r>
      <w:r>
        <w:rPr>
          <w:color w:val="231F20"/>
          <w:spacing w:val="9"/>
        </w:rPr>
        <w:t>）</w:t>
      </w:r>
      <w:r>
        <w:rPr>
          <w:color w:val="231F20"/>
          <w:spacing w:val="-38"/>
        </w:rPr>
        <w:t xml:space="preserve"> </w:t>
      </w:r>
      <w:r>
        <w:rPr>
          <w:color w:val="231F20"/>
          <w:spacing w:val="9"/>
        </w:rPr>
        <w:t>报告</w:t>
      </w:r>
    </w:p>
    <w:p w14:paraId="17F0A1FB">
      <w:pPr>
        <w:pStyle w:val="2"/>
        <w:spacing w:before="9" w:line="229" w:lineRule="auto"/>
        <w:ind w:left="29"/>
      </w:pPr>
      <w:r>
        <w:rPr>
          <w:color w:val="231F20"/>
          <w:spacing w:val="6"/>
        </w:rPr>
        <w:t>•    探析关键风险指标</w:t>
      </w:r>
      <w:r>
        <w:rPr>
          <w:rFonts w:hint="eastAsia" w:ascii="微软雅黑" w:hAnsi="微软雅黑" w:eastAsia="微软雅黑" w:cs="微软雅黑"/>
          <w:sz w:val="71"/>
          <w:szCs w:val="71"/>
          <w:lang w:eastAsia="zh-CN"/>
        </w:rPr>
        <w:drawing>
          <wp:anchor distT="0" distB="0" distL="114300" distR="114300" simplePos="0" relativeHeight="251705344" behindDoc="0" locked="0" layoutInCell="1" allowOverlap="1">
            <wp:simplePos x="0" y="0"/>
            <wp:positionH relativeFrom="column">
              <wp:posOffset>-820420</wp:posOffset>
            </wp:positionH>
            <wp:positionV relativeFrom="paragraph">
              <wp:posOffset>4479925</wp:posOffset>
            </wp:positionV>
            <wp:extent cx="6795770" cy="384810"/>
            <wp:effectExtent l="0" t="0" r="1270" b="11430"/>
            <wp:wrapNone/>
            <wp:docPr id="27" name="图片 27" descr="文字文稿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文字文稿1_01"/>
                    <pic:cNvPicPr>
                      <a:picLocks noChangeAspect="1"/>
                    </pic:cNvPicPr>
                  </pic:nvPicPr>
                  <pic:blipFill>
                    <a:blip r:embed="rId36">
                      <a:lum contrast="6000"/>
                    </a:blip>
                    <a:srcRect t="96008"/>
                    <a:stretch>
                      <a:fillRect/>
                    </a:stretch>
                  </pic:blipFill>
                  <pic:spPr>
                    <a:xfrm>
                      <a:off x="0" y="0"/>
                      <a:ext cx="6795770" cy="384810"/>
                    </a:xfrm>
                    <a:prstGeom prst="rect">
                      <a:avLst/>
                    </a:prstGeom>
                  </pic:spPr>
                </pic:pic>
              </a:graphicData>
            </a:graphic>
          </wp:anchor>
        </w:drawing>
      </w:r>
      <w:r>
        <w:rPr>
          <w:color w:val="231F20"/>
          <w:spacing w:val="6"/>
        </w:rPr>
        <w:t>报告（</w:t>
      </w:r>
      <w:r>
        <w:rPr>
          <w:color w:val="231F20"/>
          <w:spacing w:val="-10"/>
        </w:rPr>
        <w:t xml:space="preserve"> </w:t>
      </w:r>
      <w:r>
        <w:rPr>
          <w:color w:val="231F20"/>
        </w:rPr>
        <w:t>KRI</w:t>
      </w:r>
      <w:r>
        <w:rPr>
          <w:color w:val="231F20"/>
          <w:spacing w:val="6"/>
        </w:rPr>
        <w:t>）</w:t>
      </w:r>
    </w:p>
    <w:p w14:paraId="292BEA4A">
      <w:pPr>
        <w:spacing w:line="229" w:lineRule="auto"/>
        <w:sectPr>
          <w:footerReference r:id="rId20" w:type="default"/>
          <w:pgSz w:w="10660" w:h="15081"/>
          <w:pgMar w:top="1271" w:right="1167" w:bottom="325" w:left="1309" w:header="0" w:footer="0" w:gutter="0"/>
          <w:cols w:space="720" w:num="1"/>
        </w:sectPr>
      </w:pPr>
    </w:p>
    <w:p w14:paraId="16B06165">
      <w:pPr>
        <w:pStyle w:val="2"/>
        <w:spacing w:before="99" w:line="186" w:lineRule="auto"/>
        <w:ind w:left="7"/>
        <w:rPr>
          <w:sz w:val="49"/>
          <w:szCs w:val="49"/>
        </w:rPr>
      </w:pPr>
      <w:r>
        <w:rPr>
          <w:color w:val="7F7F7F"/>
          <w:spacing w:val="6"/>
          <w:sz w:val="49"/>
          <w:szCs w:val="49"/>
        </w:rPr>
        <w:t>资产负债管理</w:t>
      </w:r>
    </w:p>
    <w:p w14:paraId="316BDE49">
      <w:pPr>
        <w:pStyle w:val="2"/>
        <w:spacing w:before="114" w:line="210" w:lineRule="auto"/>
        <w:ind w:left="1"/>
        <w:rPr>
          <w:sz w:val="28"/>
          <w:szCs w:val="28"/>
        </w:rPr>
      </w:pPr>
      <w:r>
        <w:rPr>
          <w:color w:val="231F20"/>
          <w:spacing w:val="-2"/>
          <w:sz w:val="28"/>
          <w:szCs w:val="28"/>
        </w:rPr>
        <w:t>考试内容占比</w:t>
      </w:r>
      <w:r>
        <w:rPr>
          <w:color w:val="231F20"/>
          <w:spacing w:val="35"/>
          <w:sz w:val="28"/>
          <w:szCs w:val="28"/>
        </w:rPr>
        <w:t xml:space="preserve"> </w:t>
      </w:r>
      <w:r>
        <w:rPr>
          <w:color w:val="231F20"/>
          <w:spacing w:val="-2"/>
          <w:sz w:val="28"/>
          <w:szCs w:val="28"/>
        </w:rPr>
        <w:t>|</w:t>
      </w:r>
      <w:r>
        <w:rPr>
          <w:color w:val="231F20"/>
          <w:spacing w:val="24"/>
          <w:sz w:val="28"/>
          <w:szCs w:val="28"/>
        </w:rPr>
        <w:t xml:space="preserve"> </w:t>
      </w:r>
      <w:r>
        <w:rPr>
          <w:color w:val="F05124"/>
          <w:spacing w:val="-2"/>
          <w:sz w:val="28"/>
          <w:szCs w:val="28"/>
        </w:rPr>
        <w:t>23%</w:t>
      </w:r>
    </w:p>
    <w:p w14:paraId="345753C2">
      <w:pPr>
        <w:pStyle w:val="2"/>
        <w:spacing w:before="311" w:line="184" w:lineRule="auto"/>
        <w:rPr>
          <w:sz w:val="22"/>
          <w:szCs w:val="22"/>
        </w:rPr>
      </w:pPr>
      <w:r>
        <w:rPr>
          <w:color w:val="231F20"/>
          <w:spacing w:val="-2"/>
          <w:sz w:val="22"/>
          <w:szCs w:val="22"/>
        </w:rPr>
        <w:t>您应在这一部分中重点阅读与学习的内容</w:t>
      </w:r>
      <w:r>
        <w:rPr>
          <w:color w:val="231F20"/>
          <w:spacing w:val="-14"/>
          <w:sz w:val="22"/>
          <w:szCs w:val="22"/>
        </w:rPr>
        <w:t xml:space="preserve"> </w:t>
      </w:r>
      <w:r>
        <w:rPr>
          <w:color w:val="231F20"/>
          <w:spacing w:val="-2"/>
          <w:sz w:val="22"/>
          <w:szCs w:val="22"/>
        </w:rPr>
        <w:t>，以及应达到的具体学习目标：</w:t>
      </w:r>
    </w:p>
    <w:p w14:paraId="68BE18A9">
      <w:pPr>
        <w:pStyle w:val="2"/>
        <w:spacing w:before="291" w:line="238" w:lineRule="auto"/>
        <w:ind w:left="2" w:right="2145" w:hanging="2"/>
        <w:rPr>
          <w:sz w:val="22"/>
          <w:szCs w:val="22"/>
        </w:rPr>
      </w:pPr>
      <w:r>
        <w:rPr>
          <w:color w:val="231F20"/>
          <w:spacing w:val="4"/>
          <w:sz w:val="24"/>
          <w:szCs w:val="24"/>
        </w:rPr>
        <w:t>第一章   资产负债管理委员会（</w:t>
      </w:r>
      <w:r>
        <w:rPr>
          <w:color w:val="231F20"/>
          <w:spacing w:val="-33"/>
          <w:sz w:val="24"/>
          <w:szCs w:val="24"/>
        </w:rPr>
        <w:t xml:space="preserve"> </w:t>
      </w:r>
      <w:r>
        <w:rPr>
          <w:color w:val="231F20"/>
          <w:sz w:val="24"/>
          <w:szCs w:val="24"/>
        </w:rPr>
        <w:t>ALCO</w:t>
      </w:r>
      <w:r>
        <w:rPr>
          <w:color w:val="231F20"/>
          <w:spacing w:val="4"/>
          <w:sz w:val="24"/>
          <w:szCs w:val="24"/>
        </w:rPr>
        <w:t>）和资金部门职能</w:t>
      </w:r>
      <w:r>
        <w:rPr>
          <w:color w:val="231F20"/>
          <w:sz w:val="24"/>
          <w:szCs w:val="24"/>
        </w:rPr>
        <w:t xml:space="preserve"> </w:t>
      </w:r>
      <w:r>
        <w:rPr>
          <w:color w:val="231F20"/>
          <w:spacing w:val="-5"/>
          <w:sz w:val="22"/>
          <w:szCs w:val="22"/>
        </w:rPr>
        <w:t>完成本章阅读与学习后</w:t>
      </w:r>
      <w:r>
        <w:rPr>
          <w:color w:val="231F20"/>
          <w:spacing w:val="-25"/>
          <w:sz w:val="22"/>
          <w:szCs w:val="22"/>
        </w:rPr>
        <w:t xml:space="preserve"> </w:t>
      </w:r>
      <w:r>
        <w:rPr>
          <w:color w:val="231F20"/>
          <w:spacing w:val="-5"/>
          <w:sz w:val="22"/>
          <w:szCs w:val="22"/>
        </w:rPr>
        <w:t>，您应具备以下能力：</w:t>
      </w:r>
    </w:p>
    <w:p w14:paraId="0706B368">
      <w:pPr>
        <w:pStyle w:val="2"/>
        <w:spacing w:before="1" w:line="189" w:lineRule="auto"/>
        <w:ind w:left="15"/>
      </w:pPr>
      <w:r>
        <w:rPr>
          <w:color w:val="231F20"/>
          <w:spacing w:val="8"/>
        </w:rPr>
        <w:t>•    说明资金部门在银行</w:t>
      </w:r>
      <w:r>
        <w:rPr>
          <w:rFonts w:hint="eastAsia"/>
          <w:color w:val="231F20"/>
          <w:spacing w:val="8"/>
          <w:lang w:eastAsia="zh-CN"/>
        </w:rPr>
        <w:t>和</w:t>
      </w:r>
      <w:r>
        <w:rPr>
          <w:color w:val="231F20"/>
          <w:spacing w:val="8"/>
        </w:rPr>
        <w:t>非银行商业组织中的作用</w:t>
      </w:r>
    </w:p>
    <w:p w14:paraId="4A52E32D">
      <w:pPr>
        <w:pStyle w:val="2"/>
        <w:spacing w:before="59" w:line="183" w:lineRule="auto"/>
        <w:ind w:left="15"/>
      </w:pPr>
      <w:r>
        <w:rPr>
          <w:color w:val="231F20"/>
          <w:spacing w:val="7"/>
          <w:position w:val="1"/>
        </w:rPr>
        <w:t xml:space="preserve">•    </w:t>
      </w:r>
      <w:r>
        <w:rPr>
          <w:color w:val="231F20"/>
          <w:spacing w:val="7"/>
        </w:rPr>
        <w:t>描述单一商业和零售银行的业务模式</w:t>
      </w:r>
    </w:p>
    <w:p w14:paraId="7D2E9799">
      <w:pPr>
        <w:pStyle w:val="2"/>
        <w:spacing w:before="19" w:line="233" w:lineRule="auto"/>
        <w:ind w:left="15"/>
      </w:pPr>
      <w:r>
        <w:rPr>
          <w:color w:val="231F20"/>
          <w:spacing w:val="7"/>
        </w:rPr>
        <w:t>•    阐明资金部门在兼营投行业务的商业 / 零售银行业务模式中的作用</w:t>
      </w:r>
    </w:p>
    <w:p w14:paraId="30E77979">
      <w:pPr>
        <w:pStyle w:val="2"/>
        <w:spacing w:before="33" w:line="190" w:lineRule="auto"/>
        <w:ind w:left="15"/>
      </w:pPr>
      <w:r>
        <w:rPr>
          <w:color w:val="231F20"/>
          <w:spacing w:val="7"/>
        </w:rPr>
        <w:t>•    评估资金部门的利率与外汇风险</w:t>
      </w:r>
    </w:p>
    <w:p w14:paraId="0DD0BFA3">
      <w:pPr>
        <w:pStyle w:val="2"/>
        <w:spacing w:before="22" w:line="229" w:lineRule="auto"/>
        <w:ind w:left="15"/>
      </w:pPr>
      <w:r>
        <w:rPr>
          <w:color w:val="231F20"/>
          <w:spacing w:val="9"/>
        </w:rPr>
        <w:t>•    评估一系列资产负债管理委员会（</w:t>
      </w:r>
      <w:r>
        <w:rPr>
          <w:color w:val="231F20"/>
        </w:rPr>
        <w:t>ALCO</w:t>
      </w:r>
      <w:r>
        <w:rPr>
          <w:color w:val="231F20"/>
          <w:spacing w:val="9"/>
        </w:rPr>
        <w:t>）</w:t>
      </w:r>
      <w:r>
        <w:rPr>
          <w:color w:val="231F20"/>
          <w:spacing w:val="-17"/>
        </w:rPr>
        <w:t xml:space="preserve"> </w:t>
      </w:r>
      <w:r>
        <w:rPr>
          <w:color w:val="231F20"/>
          <w:spacing w:val="9"/>
        </w:rPr>
        <w:t>的活动</w:t>
      </w:r>
    </w:p>
    <w:p w14:paraId="0A72C1FD">
      <w:pPr>
        <w:pStyle w:val="2"/>
        <w:spacing w:before="31" w:line="189" w:lineRule="auto"/>
        <w:ind w:left="15"/>
      </w:pPr>
      <w:r>
        <w:rPr>
          <w:color w:val="231F20"/>
          <w:spacing w:val="4"/>
        </w:rPr>
        <w:t>•</w:t>
      </w:r>
      <w:r>
        <w:rPr>
          <w:color w:val="231F20"/>
          <w:spacing w:val="11"/>
        </w:rPr>
        <w:t xml:space="preserve">    </w:t>
      </w:r>
      <w:r>
        <w:rPr>
          <w:color w:val="231F20"/>
          <w:spacing w:val="4"/>
        </w:rPr>
        <w:t>制定错配和缺口报告</w:t>
      </w:r>
    </w:p>
    <w:p w14:paraId="3384B5BC">
      <w:pPr>
        <w:pStyle w:val="2"/>
        <w:spacing w:before="22" w:line="222" w:lineRule="auto"/>
        <w:ind w:left="15"/>
      </w:pPr>
      <w:r>
        <w:rPr>
          <w:color w:val="231F20"/>
          <w:spacing w:val="8"/>
          <w:position w:val="1"/>
        </w:rPr>
        <w:t xml:space="preserve">•    </w:t>
      </w:r>
      <w:r>
        <w:rPr>
          <w:color w:val="231F20"/>
          <w:spacing w:val="8"/>
        </w:rPr>
        <w:t>分析典型资产负债管理（</w:t>
      </w:r>
      <w:r>
        <w:rPr>
          <w:color w:val="231F20"/>
        </w:rPr>
        <w:t>ALM</w:t>
      </w:r>
      <w:r>
        <w:rPr>
          <w:color w:val="231F20"/>
          <w:spacing w:val="8"/>
        </w:rPr>
        <w:t>）报告</w:t>
      </w:r>
    </w:p>
    <w:p w14:paraId="50C996FE">
      <w:pPr>
        <w:pStyle w:val="2"/>
        <w:spacing w:before="31" w:line="189" w:lineRule="auto"/>
        <w:ind w:left="15"/>
      </w:pPr>
      <w:r>
        <w:rPr>
          <w:color w:val="231F20"/>
          <w:spacing w:val="3"/>
        </w:rPr>
        <w:t>•     区分价值限制和时间限制</w:t>
      </w:r>
    </w:p>
    <w:p w14:paraId="5063BFB2">
      <w:pPr>
        <w:pStyle w:val="2"/>
        <w:spacing w:before="61" w:line="189" w:lineRule="auto"/>
        <w:ind w:left="15"/>
      </w:pPr>
      <w:r>
        <w:rPr>
          <w:color w:val="231F20"/>
          <w:spacing w:val="7"/>
        </w:rPr>
        <w:t>•    考虑波动性限制在风险管理中的有效性</w:t>
      </w:r>
    </w:p>
    <w:p w14:paraId="765A8A33">
      <w:pPr>
        <w:pStyle w:val="2"/>
        <w:spacing w:before="61" w:line="189" w:lineRule="auto"/>
        <w:ind w:left="15"/>
      </w:pPr>
      <w:r>
        <w:rPr>
          <w:color w:val="231F20"/>
          <w:spacing w:val="3"/>
        </w:rPr>
        <w:t>•</w:t>
      </w:r>
      <w:r>
        <w:rPr>
          <w:color w:val="231F20"/>
          <w:spacing w:val="1"/>
        </w:rPr>
        <w:t xml:space="preserve">     </w:t>
      </w:r>
      <w:r>
        <w:rPr>
          <w:color w:val="231F20"/>
          <w:spacing w:val="3"/>
        </w:rPr>
        <w:t>比较总持仓和总净限制</w:t>
      </w:r>
    </w:p>
    <w:p w14:paraId="53524013">
      <w:pPr>
        <w:pStyle w:val="2"/>
        <w:spacing w:before="198" w:line="184" w:lineRule="auto"/>
        <w:rPr>
          <w:sz w:val="24"/>
          <w:szCs w:val="24"/>
        </w:rPr>
      </w:pPr>
      <w:r>
        <w:rPr>
          <w:color w:val="231F20"/>
          <w:spacing w:val="-2"/>
          <w:sz w:val="24"/>
          <w:szCs w:val="24"/>
        </w:rPr>
        <w:t>第二章</w:t>
      </w:r>
      <w:r>
        <w:rPr>
          <w:color w:val="231F20"/>
          <w:spacing w:val="13"/>
          <w:sz w:val="24"/>
          <w:szCs w:val="24"/>
        </w:rPr>
        <w:t xml:space="preserve">   </w:t>
      </w:r>
      <w:r>
        <w:rPr>
          <w:color w:val="231F20"/>
          <w:spacing w:val="-2"/>
          <w:sz w:val="24"/>
          <w:szCs w:val="24"/>
        </w:rPr>
        <w:t>银行账户的利率风险</w:t>
      </w:r>
    </w:p>
    <w:p w14:paraId="4BFA8CB9">
      <w:pPr>
        <w:pStyle w:val="2"/>
        <w:spacing w:before="86" w:line="185" w:lineRule="auto"/>
        <w:ind w:left="2"/>
        <w:rPr>
          <w:sz w:val="22"/>
          <w:szCs w:val="22"/>
        </w:rPr>
      </w:pPr>
      <w:r>
        <w:rPr>
          <w:color w:val="231F20"/>
          <w:spacing w:val="-5"/>
          <w:sz w:val="22"/>
          <w:szCs w:val="22"/>
        </w:rPr>
        <w:t>完成本章阅读与学习后</w:t>
      </w:r>
      <w:r>
        <w:rPr>
          <w:color w:val="231F20"/>
          <w:spacing w:val="-25"/>
          <w:sz w:val="22"/>
          <w:szCs w:val="22"/>
        </w:rPr>
        <w:t xml:space="preserve"> </w:t>
      </w:r>
      <w:r>
        <w:rPr>
          <w:color w:val="231F20"/>
          <w:spacing w:val="-5"/>
          <w:sz w:val="22"/>
          <w:szCs w:val="22"/>
        </w:rPr>
        <w:t>，您应具备以下能力：</w:t>
      </w:r>
    </w:p>
    <w:p w14:paraId="718B1970">
      <w:pPr>
        <w:pStyle w:val="2"/>
        <w:spacing w:before="7" w:line="229" w:lineRule="auto"/>
        <w:ind w:left="15"/>
      </w:pPr>
      <w:r>
        <w:rPr>
          <w:color w:val="231F20"/>
          <w:spacing w:val="5"/>
        </w:rPr>
        <w:t>•    理解基本净利息收入（</w:t>
      </w:r>
      <w:r>
        <w:rPr>
          <w:color w:val="231F20"/>
          <w:spacing w:val="-22"/>
        </w:rPr>
        <w:t xml:space="preserve"> </w:t>
      </w:r>
      <w:r>
        <w:rPr>
          <w:color w:val="231F20"/>
        </w:rPr>
        <w:t>NII</w:t>
      </w:r>
      <w:r>
        <w:rPr>
          <w:color w:val="231F20"/>
          <w:spacing w:val="5"/>
        </w:rPr>
        <w:t>）风险模型</w:t>
      </w:r>
    </w:p>
    <w:p w14:paraId="26016E99">
      <w:pPr>
        <w:pStyle w:val="2"/>
        <w:spacing w:before="4" w:line="229" w:lineRule="auto"/>
        <w:ind w:left="15"/>
      </w:pPr>
      <w:r>
        <w:rPr>
          <w:color w:val="231F20"/>
          <w:spacing w:val="5"/>
        </w:rPr>
        <w:t>•    描述基本净利息收入（</w:t>
      </w:r>
      <w:r>
        <w:rPr>
          <w:color w:val="231F20"/>
          <w:spacing w:val="-8"/>
        </w:rPr>
        <w:t xml:space="preserve"> </w:t>
      </w:r>
      <w:r>
        <w:rPr>
          <w:color w:val="231F20"/>
        </w:rPr>
        <w:t>NII</w:t>
      </w:r>
      <w:r>
        <w:rPr>
          <w:color w:val="231F20"/>
          <w:spacing w:val="5"/>
        </w:rPr>
        <w:t>）风险管理的示例</w:t>
      </w:r>
    </w:p>
    <w:p w14:paraId="57DEEB44">
      <w:pPr>
        <w:pStyle w:val="2"/>
        <w:spacing w:before="1" w:line="229" w:lineRule="auto"/>
        <w:ind w:left="15"/>
      </w:pPr>
      <w:r>
        <w:rPr>
          <w:color w:val="231F20"/>
          <w:spacing w:val="6"/>
        </w:rPr>
        <w:t>•    探析对基本净利息收入（</w:t>
      </w:r>
      <w:r>
        <w:rPr>
          <w:color w:val="231F20"/>
          <w:spacing w:val="-3"/>
        </w:rPr>
        <w:t xml:space="preserve"> </w:t>
      </w:r>
      <w:r>
        <w:rPr>
          <w:color w:val="231F20"/>
        </w:rPr>
        <w:t>NII</w:t>
      </w:r>
      <w:r>
        <w:rPr>
          <w:color w:val="231F20"/>
          <w:spacing w:val="6"/>
        </w:rPr>
        <w:t>）风险模型的批判程度</w:t>
      </w:r>
    </w:p>
    <w:p w14:paraId="67CE7B64">
      <w:pPr>
        <w:pStyle w:val="2"/>
        <w:spacing w:before="4" w:line="222" w:lineRule="auto"/>
        <w:ind w:left="15"/>
      </w:pPr>
      <w:r>
        <w:rPr>
          <w:color w:val="231F20"/>
          <w:spacing w:val="8"/>
          <w:position w:val="1"/>
        </w:rPr>
        <w:t xml:space="preserve">•    </w:t>
      </w:r>
      <w:r>
        <w:rPr>
          <w:color w:val="231F20"/>
          <w:spacing w:val="8"/>
        </w:rPr>
        <w:t>评估银行股权经济价值（</w:t>
      </w:r>
      <w:r>
        <w:rPr>
          <w:color w:val="231F20"/>
          <w:spacing w:val="-7"/>
        </w:rPr>
        <w:t xml:space="preserve"> </w:t>
      </w:r>
      <w:r>
        <w:rPr>
          <w:color w:val="231F20"/>
        </w:rPr>
        <w:t>EVE</w:t>
      </w:r>
      <w:r>
        <w:rPr>
          <w:color w:val="231F20"/>
          <w:spacing w:val="8"/>
        </w:rPr>
        <w:t>）</w:t>
      </w:r>
      <w:r>
        <w:rPr>
          <w:color w:val="231F20"/>
          <w:spacing w:val="-34"/>
        </w:rPr>
        <w:t xml:space="preserve"> </w:t>
      </w:r>
      <w:r>
        <w:rPr>
          <w:color w:val="231F20"/>
          <w:spacing w:val="8"/>
        </w:rPr>
        <w:t>的影响</w:t>
      </w:r>
    </w:p>
    <w:p w14:paraId="5DF8D267">
      <w:pPr>
        <w:pStyle w:val="2"/>
        <w:spacing w:before="1" w:line="229" w:lineRule="auto"/>
        <w:ind w:left="15"/>
      </w:pPr>
      <w:r>
        <w:rPr>
          <w:color w:val="231F20"/>
          <w:spacing w:val="10"/>
        </w:rPr>
        <w:t>•    说明如何对冲利率风险以缓释股权经济价值（</w:t>
      </w:r>
      <w:r>
        <w:rPr>
          <w:color w:val="231F20"/>
          <w:spacing w:val="-16"/>
        </w:rPr>
        <w:t xml:space="preserve"> </w:t>
      </w:r>
      <w:r>
        <w:rPr>
          <w:color w:val="231F20"/>
        </w:rPr>
        <w:t>EVE</w:t>
      </w:r>
      <w:r>
        <w:rPr>
          <w:color w:val="231F20"/>
          <w:spacing w:val="10"/>
        </w:rPr>
        <w:t>）变化</w:t>
      </w:r>
    </w:p>
    <w:p w14:paraId="0B43FFA0">
      <w:pPr>
        <w:pStyle w:val="2"/>
        <w:spacing w:before="9" w:line="229" w:lineRule="auto"/>
        <w:ind w:left="15"/>
      </w:pPr>
      <w:r>
        <w:rPr>
          <w:color w:val="231F20"/>
          <w:spacing w:val="12"/>
        </w:rPr>
        <w:t>•    描述2016年银行业利率风险指南（</w:t>
      </w:r>
      <w:r>
        <w:rPr>
          <w:color w:val="231F20"/>
        </w:rPr>
        <w:t>IRRBB</w:t>
      </w:r>
      <w:r>
        <w:rPr>
          <w:color w:val="231F20"/>
          <w:spacing w:val="12"/>
        </w:rPr>
        <w:t>）框架</w:t>
      </w:r>
      <w:r>
        <w:rPr>
          <w:rFonts w:hint="eastAsia" w:ascii="微软雅黑" w:hAnsi="微软雅黑" w:eastAsia="微软雅黑" w:cs="微软雅黑"/>
          <w:sz w:val="71"/>
          <w:szCs w:val="71"/>
          <w:lang w:eastAsia="zh-CN"/>
        </w:rPr>
        <w:drawing>
          <wp:anchor distT="0" distB="0" distL="114300" distR="114300" simplePos="0" relativeHeight="251706368" behindDoc="0" locked="0" layoutInCell="1" allowOverlap="1">
            <wp:simplePos x="0" y="0"/>
            <wp:positionH relativeFrom="column">
              <wp:posOffset>-820420</wp:posOffset>
            </wp:positionH>
            <wp:positionV relativeFrom="paragraph">
              <wp:posOffset>2925445</wp:posOffset>
            </wp:positionV>
            <wp:extent cx="6795770" cy="384810"/>
            <wp:effectExtent l="0" t="0" r="1270" b="11430"/>
            <wp:wrapNone/>
            <wp:docPr id="29" name="图片 29" descr="文字文稿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文字文稿1_01"/>
                    <pic:cNvPicPr>
                      <a:picLocks noChangeAspect="1"/>
                    </pic:cNvPicPr>
                  </pic:nvPicPr>
                  <pic:blipFill>
                    <a:blip r:embed="rId36">
                      <a:lum contrast="6000"/>
                    </a:blip>
                    <a:srcRect t="96008"/>
                    <a:stretch>
                      <a:fillRect/>
                    </a:stretch>
                  </pic:blipFill>
                  <pic:spPr>
                    <a:xfrm>
                      <a:off x="0" y="0"/>
                      <a:ext cx="6795770" cy="384810"/>
                    </a:xfrm>
                    <a:prstGeom prst="rect">
                      <a:avLst/>
                    </a:prstGeom>
                  </pic:spPr>
                </pic:pic>
              </a:graphicData>
            </a:graphic>
          </wp:anchor>
        </w:drawing>
      </w:r>
    </w:p>
    <w:p w14:paraId="5D3EE262">
      <w:pPr>
        <w:spacing w:line="229" w:lineRule="auto"/>
        <w:sectPr>
          <w:pgSz w:w="10660" w:h="15081"/>
          <w:pgMar w:top="1191" w:right="1167" w:bottom="325" w:left="1309" w:header="0" w:footer="0" w:gutter="0"/>
          <w:cols w:space="720" w:num="1"/>
        </w:sectPr>
      </w:pPr>
    </w:p>
    <w:p w14:paraId="794B99BF">
      <w:pPr>
        <w:spacing w:line="309" w:lineRule="auto"/>
        <w:rPr>
          <w:rFonts w:ascii="Arial"/>
          <w:sz w:val="21"/>
        </w:rPr>
      </w:pPr>
    </w:p>
    <w:p w14:paraId="73B7E11E">
      <w:pPr>
        <w:pStyle w:val="2"/>
        <w:spacing w:before="103" w:line="184" w:lineRule="auto"/>
        <w:rPr>
          <w:sz w:val="24"/>
          <w:szCs w:val="24"/>
        </w:rPr>
      </w:pPr>
      <w:r>
        <w:rPr>
          <w:color w:val="231F20"/>
          <w:spacing w:val="-2"/>
          <w:sz w:val="24"/>
          <w:szCs w:val="24"/>
        </w:rPr>
        <w:t>第三章</w:t>
      </w:r>
      <w:r>
        <w:rPr>
          <w:color w:val="231F20"/>
          <w:spacing w:val="15"/>
          <w:sz w:val="24"/>
          <w:szCs w:val="24"/>
        </w:rPr>
        <w:t xml:space="preserve">   </w:t>
      </w:r>
      <w:r>
        <w:rPr>
          <w:color w:val="231F20"/>
          <w:spacing w:val="-2"/>
          <w:sz w:val="24"/>
          <w:szCs w:val="24"/>
        </w:rPr>
        <w:t>银行账户的流动性风险</w:t>
      </w:r>
    </w:p>
    <w:p w14:paraId="72E183EE">
      <w:pPr>
        <w:pStyle w:val="2"/>
        <w:spacing w:before="86" w:line="185" w:lineRule="auto"/>
        <w:ind w:left="2"/>
        <w:rPr>
          <w:sz w:val="22"/>
          <w:szCs w:val="22"/>
        </w:rPr>
      </w:pPr>
      <w:r>
        <w:rPr>
          <w:color w:val="231F20"/>
          <w:spacing w:val="-5"/>
          <w:sz w:val="22"/>
          <w:szCs w:val="22"/>
        </w:rPr>
        <w:t>完成本章阅读与学习后</w:t>
      </w:r>
      <w:r>
        <w:rPr>
          <w:color w:val="231F20"/>
          <w:spacing w:val="-25"/>
          <w:sz w:val="22"/>
          <w:szCs w:val="22"/>
        </w:rPr>
        <w:t xml:space="preserve"> </w:t>
      </w:r>
      <w:r>
        <w:rPr>
          <w:color w:val="231F20"/>
          <w:spacing w:val="-5"/>
          <w:sz w:val="22"/>
          <w:szCs w:val="22"/>
        </w:rPr>
        <w:t>，您应具备以下能力：</w:t>
      </w:r>
    </w:p>
    <w:p w14:paraId="6D5950DE">
      <w:pPr>
        <w:pStyle w:val="2"/>
        <w:spacing w:before="33" w:line="191" w:lineRule="auto"/>
        <w:ind w:left="29"/>
      </w:pPr>
      <w:r>
        <w:rPr>
          <w:color w:val="231F20"/>
          <w:spacing w:val="4"/>
        </w:rPr>
        <w:t>•</w:t>
      </w:r>
      <w:r>
        <w:rPr>
          <w:color w:val="231F20"/>
          <w:spacing w:val="11"/>
        </w:rPr>
        <w:t xml:space="preserve">    </w:t>
      </w:r>
      <w:r>
        <w:rPr>
          <w:color w:val="231F20"/>
          <w:spacing w:val="4"/>
        </w:rPr>
        <w:t>定义两种流动性种类</w:t>
      </w:r>
    </w:p>
    <w:p w14:paraId="5631F23F">
      <w:pPr>
        <w:pStyle w:val="2"/>
        <w:spacing w:before="58" w:line="184" w:lineRule="auto"/>
        <w:ind w:left="29"/>
      </w:pPr>
      <w:r>
        <w:rPr>
          <w:color w:val="231F20"/>
          <w:spacing w:val="6"/>
          <w:position w:val="1"/>
        </w:rPr>
        <w:t>•</w:t>
      </w:r>
      <w:r>
        <w:rPr>
          <w:color w:val="231F20"/>
          <w:spacing w:val="9"/>
          <w:position w:val="1"/>
        </w:rPr>
        <w:t xml:space="preserve">    </w:t>
      </w:r>
      <w:r>
        <w:rPr>
          <w:color w:val="231F20"/>
          <w:spacing w:val="6"/>
        </w:rPr>
        <w:t>评估银行流动性问题的根源</w:t>
      </w:r>
    </w:p>
    <w:p w14:paraId="0F2FE6A5">
      <w:pPr>
        <w:pStyle w:val="2"/>
        <w:spacing w:before="55" w:line="191" w:lineRule="auto"/>
        <w:ind w:left="29"/>
      </w:pPr>
      <w:r>
        <w:rPr>
          <w:color w:val="231F20"/>
          <w:spacing w:val="7"/>
        </w:rPr>
        <w:t>•    定义和计算作为静态模型示例的流动性阶梯</w:t>
      </w:r>
    </w:p>
    <w:p w14:paraId="4ACBAB27">
      <w:pPr>
        <w:pStyle w:val="2"/>
        <w:spacing w:before="47" w:line="190" w:lineRule="auto"/>
        <w:ind w:left="29"/>
      </w:pPr>
      <w:r>
        <w:rPr>
          <w:color w:val="231F20"/>
          <w:spacing w:val="4"/>
        </w:rPr>
        <w:t>•</w:t>
      </w:r>
      <w:r>
        <w:rPr>
          <w:color w:val="231F20"/>
          <w:spacing w:val="11"/>
        </w:rPr>
        <w:t xml:space="preserve">    </w:t>
      </w:r>
      <w:r>
        <w:rPr>
          <w:color w:val="231F20"/>
          <w:spacing w:val="4"/>
        </w:rPr>
        <w:t>说明概率模型的作用</w:t>
      </w:r>
    </w:p>
    <w:p w14:paraId="67BE0AB0">
      <w:pPr>
        <w:pStyle w:val="2"/>
        <w:spacing w:before="58" w:line="184" w:lineRule="auto"/>
        <w:ind w:left="29"/>
      </w:pPr>
      <w:r>
        <w:rPr>
          <w:color w:val="231F20"/>
          <w:spacing w:val="7"/>
          <w:position w:val="1"/>
        </w:rPr>
        <w:t xml:space="preserve">•    </w:t>
      </w:r>
      <w:r>
        <w:rPr>
          <w:color w:val="231F20"/>
          <w:spacing w:val="7"/>
        </w:rPr>
        <w:t>评估作为流动性管理形式的证券化</w:t>
      </w:r>
    </w:p>
    <w:p w14:paraId="30F5C517">
      <w:pPr>
        <w:pStyle w:val="2"/>
        <w:spacing w:before="19" w:line="229" w:lineRule="auto"/>
        <w:ind w:left="29"/>
      </w:pPr>
      <w:r>
        <w:rPr>
          <w:color w:val="231F20"/>
          <w:spacing w:val="9"/>
        </w:rPr>
        <w:t>•    描述资金转移定价（</w:t>
      </w:r>
      <w:r>
        <w:rPr>
          <w:color w:val="231F20"/>
          <w:spacing w:val="-11"/>
        </w:rPr>
        <w:t xml:space="preserve"> </w:t>
      </w:r>
      <w:r>
        <w:rPr>
          <w:color w:val="231F20"/>
        </w:rPr>
        <w:t>FTP</w:t>
      </w:r>
      <w:r>
        <w:rPr>
          <w:color w:val="231F20"/>
          <w:spacing w:val="9"/>
        </w:rPr>
        <w:t>）在创建有效的资金部门中的作用</w:t>
      </w:r>
    </w:p>
    <w:p w14:paraId="6632A8ED">
      <w:pPr>
        <w:pStyle w:val="2"/>
        <w:spacing w:before="42" w:line="183" w:lineRule="auto"/>
        <w:ind w:left="29"/>
      </w:pPr>
      <w:r>
        <w:rPr>
          <w:color w:val="231F20"/>
          <w:spacing w:val="4"/>
          <w:position w:val="1"/>
        </w:rPr>
        <w:t>•</w:t>
      </w:r>
      <w:r>
        <w:rPr>
          <w:color w:val="231F20"/>
          <w:spacing w:val="15"/>
          <w:w w:val="101"/>
          <w:position w:val="1"/>
        </w:rPr>
        <w:t xml:space="preserve">    </w:t>
      </w:r>
      <w:r>
        <w:rPr>
          <w:color w:val="231F20"/>
          <w:spacing w:val="4"/>
        </w:rPr>
        <w:t>比较资金成本法和净资金法</w:t>
      </w:r>
    </w:p>
    <w:p w14:paraId="4E116AFD">
      <w:pPr>
        <w:pStyle w:val="2"/>
        <w:spacing w:before="57" w:line="190" w:lineRule="auto"/>
        <w:ind w:left="29"/>
      </w:pPr>
      <w:r>
        <w:rPr>
          <w:color w:val="231F20"/>
          <w:spacing w:val="4"/>
        </w:rPr>
        <w:t>•</w:t>
      </w:r>
      <w:r>
        <w:rPr>
          <w:color w:val="231F20"/>
          <w:spacing w:val="2"/>
        </w:rPr>
        <w:t xml:space="preserve">     </w:t>
      </w:r>
      <w:r>
        <w:rPr>
          <w:color w:val="231F20"/>
          <w:spacing w:val="4"/>
        </w:rPr>
        <w:t>比较资金汇集法和期限匹配法</w:t>
      </w:r>
    </w:p>
    <w:p w14:paraId="6D2FD69D">
      <w:pPr>
        <w:pStyle w:val="2"/>
        <w:spacing w:before="58" w:line="184" w:lineRule="auto"/>
        <w:ind w:left="29"/>
      </w:pPr>
      <w:r>
        <w:rPr>
          <w:color w:val="231F20"/>
          <w:spacing w:val="7"/>
          <w:position w:val="1"/>
        </w:rPr>
        <w:t xml:space="preserve">•    </w:t>
      </w:r>
      <w:r>
        <w:rPr>
          <w:color w:val="231F20"/>
          <w:spacing w:val="7"/>
        </w:rPr>
        <w:t>评估巴塞尔协议Ⅲ流动性计量的目的和有效性</w:t>
      </w:r>
    </w:p>
    <w:p w14:paraId="56F71A5F">
      <w:pPr>
        <w:pStyle w:val="2"/>
        <w:spacing w:before="19" w:line="229" w:lineRule="auto"/>
        <w:ind w:left="29"/>
      </w:pPr>
      <w:r>
        <w:rPr>
          <w:color w:val="231F20"/>
          <w:spacing w:val="9"/>
        </w:rPr>
        <w:t>•    计算资产负债表情境下的流动性覆盖比率（</w:t>
      </w:r>
      <w:r>
        <w:rPr>
          <w:color w:val="231F20"/>
          <w:spacing w:val="-9"/>
        </w:rPr>
        <w:t xml:space="preserve"> </w:t>
      </w:r>
      <w:r>
        <w:rPr>
          <w:color w:val="231F20"/>
        </w:rPr>
        <w:t>LCR</w:t>
      </w:r>
      <w:r>
        <w:rPr>
          <w:color w:val="231F20"/>
          <w:spacing w:val="9"/>
        </w:rPr>
        <w:t>）</w:t>
      </w:r>
    </w:p>
    <w:p w14:paraId="2B1BECA0">
      <w:pPr>
        <w:pStyle w:val="2"/>
        <w:spacing w:before="9" w:line="229" w:lineRule="auto"/>
        <w:ind w:left="29"/>
      </w:pPr>
      <w:r>
        <w:rPr>
          <w:color w:val="231F20"/>
          <w:spacing w:val="8"/>
        </w:rPr>
        <w:t>•    描述净稳定资金比率（</w:t>
      </w:r>
      <w:r>
        <w:rPr>
          <w:color w:val="231F20"/>
          <w:spacing w:val="-5"/>
        </w:rPr>
        <w:t xml:space="preserve"> </w:t>
      </w:r>
      <w:r>
        <w:rPr>
          <w:color w:val="231F20"/>
        </w:rPr>
        <w:t>NSFR</w:t>
      </w:r>
      <w:r>
        <w:rPr>
          <w:color w:val="231F20"/>
          <w:spacing w:val="8"/>
        </w:rPr>
        <w:t>）</w:t>
      </w:r>
      <w:r>
        <w:rPr>
          <w:color w:val="231F20"/>
          <w:spacing w:val="-38"/>
        </w:rPr>
        <w:t xml:space="preserve"> </w:t>
      </w:r>
      <w:r>
        <w:rPr>
          <w:color w:val="231F20"/>
          <w:spacing w:val="8"/>
        </w:rPr>
        <w:t>背后的目标</w:t>
      </w:r>
    </w:p>
    <w:p w14:paraId="027B9FA5">
      <w:pPr>
        <w:pStyle w:val="2"/>
        <w:spacing w:before="187" w:line="184" w:lineRule="auto"/>
        <w:rPr>
          <w:sz w:val="24"/>
          <w:szCs w:val="24"/>
        </w:rPr>
      </w:pPr>
      <w:r>
        <w:rPr>
          <w:color w:val="231F20"/>
          <w:spacing w:val="-2"/>
          <w:sz w:val="24"/>
          <w:szCs w:val="24"/>
        </w:rPr>
        <w:t>第四章</w:t>
      </w:r>
      <w:r>
        <w:rPr>
          <w:color w:val="231F20"/>
          <w:spacing w:val="13"/>
          <w:sz w:val="24"/>
          <w:szCs w:val="24"/>
        </w:rPr>
        <w:t xml:space="preserve">   </w:t>
      </w:r>
      <w:r>
        <w:rPr>
          <w:color w:val="231F20"/>
          <w:spacing w:val="-2"/>
          <w:sz w:val="24"/>
          <w:szCs w:val="24"/>
        </w:rPr>
        <w:t>银行资本管理</w:t>
      </w:r>
    </w:p>
    <w:p w14:paraId="35236ACB">
      <w:pPr>
        <w:pStyle w:val="2"/>
        <w:spacing w:before="84" w:line="185" w:lineRule="auto"/>
        <w:ind w:left="2"/>
        <w:rPr>
          <w:sz w:val="22"/>
          <w:szCs w:val="22"/>
        </w:rPr>
      </w:pPr>
      <w:r>
        <w:rPr>
          <w:color w:val="231F20"/>
          <w:spacing w:val="-5"/>
          <w:sz w:val="22"/>
          <w:szCs w:val="22"/>
        </w:rPr>
        <w:t>完成本章阅读与学习后</w:t>
      </w:r>
      <w:r>
        <w:rPr>
          <w:color w:val="231F20"/>
          <w:spacing w:val="-25"/>
          <w:sz w:val="22"/>
          <w:szCs w:val="22"/>
        </w:rPr>
        <w:t xml:space="preserve"> </w:t>
      </w:r>
      <w:r>
        <w:rPr>
          <w:color w:val="231F20"/>
          <w:spacing w:val="-5"/>
          <w:sz w:val="22"/>
          <w:szCs w:val="22"/>
        </w:rPr>
        <w:t>，您应具备以下能力：</w:t>
      </w:r>
    </w:p>
    <w:p w14:paraId="55D655EC">
      <w:pPr>
        <w:pStyle w:val="2"/>
        <w:spacing w:before="38" w:line="190" w:lineRule="auto"/>
        <w:ind w:left="29"/>
      </w:pPr>
      <w:r>
        <w:rPr>
          <w:color w:val="231F20"/>
          <w:spacing w:val="3"/>
        </w:rPr>
        <w:t>•     区分经济资本和监管资本</w:t>
      </w:r>
    </w:p>
    <w:p w14:paraId="296C0843">
      <w:pPr>
        <w:pStyle w:val="2"/>
        <w:spacing w:before="21" w:line="222" w:lineRule="auto"/>
        <w:ind w:left="29"/>
      </w:pPr>
      <w:r>
        <w:rPr>
          <w:color w:val="231F20"/>
          <w:spacing w:val="10"/>
          <w:position w:val="1"/>
        </w:rPr>
        <w:t xml:space="preserve">•    </w:t>
      </w:r>
      <w:r>
        <w:rPr>
          <w:color w:val="231F20"/>
          <w:spacing w:val="10"/>
        </w:rPr>
        <w:t>理解经济资本与风险价值（</w:t>
      </w:r>
      <w:r>
        <w:rPr>
          <w:color w:val="231F20"/>
        </w:rPr>
        <w:t>VaR</w:t>
      </w:r>
      <w:r>
        <w:rPr>
          <w:color w:val="231F20"/>
          <w:spacing w:val="10"/>
        </w:rPr>
        <w:t>）之间的联系</w:t>
      </w:r>
    </w:p>
    <w:p w14:paraId="1BDD2DB5">
      <w:pPr>
        <w:pStyle w:val="2"/>
        <w:spacing w:before="39" w:line="190" w:lineRule="auto"/>
        <w:ind w:left="29"/>
      </w:pPr>
      <w:r>
        <w:rPr>
          <w:color w:val="231F20"/>
          <w:spacing w:val="5"/>
        </w:rPr>
        <w:t>•</w:t>
      </w:r>
      <w:r>
        <w:rPr>
          <w:color w:val="231F20"/>
          <w:spacing w:val="12"/>
        </w:rPr>
        <w:t xml:space="preserve">    </w:t>
      </w:r>
      <w:r>
        <w:rPr>
          <w:color w:val="231F20"/>
          <w:spacing w:val="5"/>
        </w:rPr>
        <w:t>描述经济资本方法论的背景</w:t>
      </w:r>
    </w:p>
    <w:p w14:paraId="4D11A811">
      <w:pPr>
        <w:pStyle w:val="2"/>
        <w:spacing w:before="58" w:line="190" w:lineRule="auto"/>
        <w:ind w:left="29"/>
      </w:pPr>
      <w:r>
        <w:rPr>
          <w:color w:val="231F20"/>
          <w:spacing w:val="6"/>
        </w:rPr>
        <w:t>•</w:t>
      </w:r>
      <w:r>
        <w:rPr>
          <w:color w:val="231F20"/>
          <w:spacing w:val="9"/>
        </w:rPr>
        <w:t xml:space="preserve">    </w:t>
      </w:r>
      <w:r>
        <w:rPr>
          <w:color w:val="231F20"/>
          <w:spacing w:val="6"/>
        </w:rPr>
        <w:t>概述经济资本计量中的问题</w:t>
      </w:r>
    </w:p>
    <w:p w14:paraId="6C0CBBB5">
      <w:pPr>
        <w:pStyle w:val="2"/>
        <w:spacing w:before="50" w:line="190" w:lineRule="auto"/>
        <w:ind w:left="29"/>
      </w:pPr>
      <w:r>
        <w:rPr>
          <w:color w:val="231F20"/>
          <w:spacing w:val="5"/>
        </w:rPr>
        <w:t>•</w:t>
      </w:r>
      <w:r>
        <w:rPr>
          <w:color w:val="231F20"/>
          <w:spacing w:val="11"/>
        </w:rPr>
        <w:t xml:space="preserve">    </w:t>
      </w:r>
      <w:r>
        <w:rPr>
          <w:color w:val="231F20"/>
          <w:spacing w:val="5"/>
        </w:rPr>
        <w:t>识别监管资本的主要构成</w:t>
      </w:r>
    </w:p>
    <w:p w14:paraId="2A92E929">
      <w:pPr>
        <w:pStyle w:val="2"/>
        <w:spacing w:before="47" w:line="190" w:lineRule="auto"/>
        <w:ind w:left="29"/>
      </w:pPr>
      <w:r>
        <w:rPr>
          <w:color w:val="231F20"/>
          <w:spacing w:val="5"/>
        </w:rPr>
        <w:t>•</w:t>
      </w:r>
      <w:r>
        <w:rPr>
          <w:color w:val="231F20"/>
          <w:spacing w:val="10"/>
        </w:rPr>
        <w:t xml:space="preserve">    </w:t>
      </w:r>
      <w:r>
        <w:rPr>
          <w:color w:val="231F20"/>
          <w:spacing w:val="5"/>
        </w:rPr>
        <w:t>解释各级资本间的比率</w:t>
      </w:r>
    </w:p>
    <w:p w14:paraId="15FC2649">
      <w:pPr>
        <w:pStyle w:val="2"/>
        <w:spacing w:before="19" w:line="234" w:lineRule="auto"/>
        <w:ind w:left="29"/>
      </w:pPr>
      <w:r>
        <w:rPr>
          <w:color w:val="231F20"/>
          <w:spacing w:val="9"/>
        </w:rPr>
        <w:t>•    重述“资本质量”背景下的巴塞尔协议</w:t>
      </w:r>
      <w:r>
        <w:rPr>
          <w:rFonts w:hint="eastAsia"/>
          <w:color w:val="231F20"/>
          <w:spacing w:val="9"/>
          <w:lang w:eastAsia="zh-CN"/>
        </w:rPr>
        <w:t>Ⅲ</w:t>
      </w:r>
      <w:r>
        <w:rPr>
          <w:color w:val="231F20"/>
          <w:spacing w:val="9"/>
        </w:rPr>
        <w:t>的资本规则</w:t>
      </w:r>
    </w:p>
    <w:p w14:paraId="43E0FE77">
      <w:pPr>
        <w:pStyle w:val="2"/>
        <w:spacing w:before="36" w:line="189" w:lineRule="auto"/>
        <w:ind w:left="29"/>
      </w:pPr>
      <w:r>
        <w:rPr>
          <w:color w:val="231F20"/>
          <w:spacing w:val="7"/>
        </w:rPr>
        <w:t>•    描述巴塞尔协议Ⅲ杠杆规则的目标</w:t>
      </w:r>
    </w:p>
    <w:p w14:paraId="110933C1">
      <w:pPr>
        <w:pStyle w:val="2"/>
        <w:spacing w:before="25" w:line="218" w:lineRule="auto"/>
        <w:ind w:left="29"/>
      </w:pPr>
      <w:r>
        <w:rPr>
          <w:color w:val="231F20"/>
          <w:spacing w:val="9"/>
        </w:rPr>
        <w:t>•    阐明为什么“金融保释</w:t>
      </w:r>
      <w:r>
        <w:rPr>
          <w:color w:val="231F20"/>
          <w:spacing w:val="-41"/>
        </w:rPr>
        <w:t xml:space="preserve"> </w:t>
      </w:r>
      <w:r>
        <w:rPr>
          <w:color w:val="231F20"/>
          <w:spacing w:val="9"/>
        </w:rPr>
        <w:t>”资金（</w:t>
      </w:r>
      <w:r>
        <w:rPr>
          <w:color w:val="231F20"/>
          <w:spacing w:val="-27"/>
        </w:rPr>
        <w:t xml:space="preserve"> </w:t>
      </w:r>
      <w:r>
        <w:rPr>
          <w:color w:val="231F20"/>
          <w:spacing w:val="9"/>
        </w:rPr>
        <w:t>“</w:t>
      </w:r>
      <w:r>
        <w:rPr>
          <w:color w:val="231F20"/>
          <w:spacing w:val="-37"/>
        </w:rPr>
        <w:t xml:space="preserve"> </w:t>
      </w:r>
      <w:r>
        <w:rPr>
          <w:color w:val="231F20"/>
        </w:rPr>
        <w:t>bail</w:t>
      </w:r>
      <w:r>
        <w:rPr>
          <w:color w:val="231F20"/>
          <w:spacing w:val="9"/>
        </w:rPr>
        <w:t>-</w:t>
      </w:r>
      <w:r>
        <w:rPr>
          <w:color w:val="231F20"/>
        </w:rPr>
        <w:t>in</w:t>
      </w:r>
      <w:r>
        <w:rPr>
          <w:color w:val="231F20"/>
          <w:spacing w:val="9"/>
        </w:rPr>
        <w:t xml:space="preserve">”  </w:t>
      </w:r>
      <w:r>
        <w:rPr>
          <w:color w:val="231F20"/>
        </w:rPr>
        <w:t>capital</w:t>
      </w:r>
      <w:r>
        <w:rPr>
          <w:color w:val="231F20"/>
          <w:spacing w:val="9"/>
        </w:rPr>
        <w:t>）要好于“纾困</w:t>
      </w:r>
      <w:r>
        <w:rPr>
          <w:color w:val="231F20"/>
          <w:spacing w:val="-42"/>
        </w:rPr>
        <w:t xml:space="preserve"> </w:t>
      </w:r>
      <w:r>
        <w:rPr>
          <w:color w:val="231F20"/>
          <w:spacing w:val="9"/>
        </w:rPr>
        <w:t>”资本（</w:t>
      </w:r>
      <w:r>
        <w:rPr>
          <w:color w:val="231F20"/>
          <w:spacing w:val="-27"/>
        </w:rPr>
        <w:t xml:space="preserve"> </w:t>
      </w:r>
      <w:r>
        <w:rPr>
          <w:color w:val="231F20"/>
          <w:spacing w:val="9"/>
        </w:rPr>
        <w:t>“</w:t>
      </w:r>
      <w:r>
        <w:rPr>
          <w:color w:val="231F20"/>
          <w:spacing w:val="-37"/>
        </w:rPr>
        <w:t xml:space="preserve"> </w:t>
      </w:r>
      <w:r>
        <w:rPr>
          <w:color w:val="231F20"/>
        </w:rPr>
        <w:t>bail</w:t>
      </w:r>
    </w:p>
    <w:p w14:paraId="6014326C">
      <w:pPr>
        <w:pStyle w:val="2"/>
        <w:spacing w:before="12" w:line="218" w:lineRule="auto"/>
        <w:ind w:left="355"/>
      </w:pPr>
      <w:r>
        <w:rPr>
          <w:color w:val="231F20"/>
          <w:spacing w:val="1"/>
        </w:rPr>
        <w:t>-</w:t>
      </w:r>
      <w:r>
        <w:rPr>
          <w:color w:val="231F20"/>
          <w:spacing w:val="18"/>
          <w:w w:val="101"/>
        </w:rPr>
        <w:t xml:space="preserve"> </w:t>
      </w:r>
      <w:r>
        <w:rPr>
          <w:color w:val="231F20"/>
        </w:rPr>
        <w:t>out</w:t>
      </w:r>
      <w:r>
        <w:rPr>
          <w:color w:val="231F20"/>
          <w:spacing w:val="1"/>
        </w:rPr>
        <w:t xml:space="preserve">” </w:t>
      </w:r>
      <w:r>
        <w:rPr>
          <w:color w:val="231F20"/>
        </w:rPr>
        <w:t>capital</w:t>
      </w:r>
      <w:r>
        <w:rPr>
          <w:rFonts w:hint="eastAsia"/>
          <w:color w:val="231F20"/>
          <w:lang w:eastAsia="zh-CN"/>
        </w:rPr>
        <w:t>)</w:t>
      </w:r>
    </w:p>
    <w:p w14:paraId="35E910AE">
      <w:pPr>
        <w:pStyle w:val="2"/>
        <w:spacing w:before="55" w:line="229" w:lineRule="auto"/>
        <w:ind w:left="29"/>
      </w:pPr>
      <w:r>
        <w:rPr>
          <w:color w:val="231F20"/>
          <w:spacing w:val="10"/>
        </w:rPr>
        <w:t>•    计算单项交易的风险调整资本回报率（</w:t>
      </w:r>
      <w:r>
        <w:rPr>
          <w:color w:val="231F20"/>
          <w:spacing w:val="-3"/>
        </w:rPr>
        <w:t xml:space="preserve"> </w:t>
      </w:r>
      <w:r>
        <w:rPr>
          <w:color w:val="231F20"/>
        </w:rPr>
        <w:t>RAROC</w:t>
      </w:r>
      <w:r>
        <w:rPr>
          <w:color w:val="231F20"/>
          <w:spacing w:val="10"/>
        </w:rPr>
        <w:t>）</w:t>
      </w:r>
    </w:p>
    <w:p w14:paraId="27E97891">
      <w:pPr>
        <w:pStyle w:val="2"/>
        <w:spacing w:before="187" w:line="211" w:lineRule="auto"/>
        <w:ind w:left="2" w:right="3631" w:hanging="2"/>
        <w:rPr>
          <w:sz w:val="22"/>
          <w:szCs w:val="22"/>
        </w:rPr>
      </w:pPr>
      <w:r>
        <w:rPr>
          <w:color w:val="231F20"/>
          <w:sz w:val="24"/>
          <w:szCs w:val="24"/>
        </w:rPr>
        <w:t>第五章   银行账簿中其他非交易性市场风险</w:t>
      </w:r>
      <w:r>
        <w:rPr>
          <w:color w:val="231F20"/>
          <w:spacing w:val="17"/>
          <w:sz w:val="24"/>
          <w:szCs w:val="24"/>
        </w:rPr>
        <w:t xml:space="preserve"> </w:t>
      </w:r>
      <w:r>
        <w:rPr>
          <w:color w:val="231F20"/>
          <w:spacing w:val="-5"/>
          <w:sz w:val="22"/>
          <w:szCs w:val="22"/>
        </w:rPr>
        <w:t>完成本章阅读与学习后</w:t>
      </w:r>
      <w:r>
        <w:rPr>
          <w:color w:val="231F20"/>
          <w:spacing w:val="-25"/>
          <w:sz w:val="22"/>
          <w:szCs w:val="22"/>
        </w:rPr>
        <w:t xml:space="preserve"> </w:t>
      </w:r>
      <w:r>
        <w:rPr>
          <w:color w:val="231F20"/>
          <w:spacing w:val="-5"/>
          <w:sz w:val="22"/>
          <w:szCs w:val="22"/>
        </w:rPr>
        <w:t>，您应具备以下能力：</w:t>
      </w:r>
    </w:p>
    <w:p w14:paraId="23DBC2F5">
      <w:pPr>
        <w:pStyle w:val="2"/>
        <w:spacing w:before="47" w:line="183" w:lineRule="auto"/>
        <w:ind w:left="29"/>
      </w:pPr>
      <w:r>
        <w:rPr>
          <w:color w:val="231F20"/>
          <w:spacing w:val="8"/>
          <w:position w:val="1"/>
        </w:rPr>
        <w:t xml:space="preserve">•    </w:t>
      </w:r>
      <w:r>
        <w:rPr>
          <w:color w:val="231F20"/>
          <w:spacing w:val="8"/>
        </w:rPr>
        <w:t>理解信用利差市场风险如何适用于非交易信用风险头寸</w:t>
      </w:r>
    </w:p>
    <w:p w14:paraId="425EF318">
      <w:pPr>
        <w:pStyle w:val="2"/>
        <w:spacing w:before="58" w:line="189" w:lineRule="auto"/>
        <w:ind w:left="29"/>
      </w:pPr>
      <w:r>
        <w:rPr>
          <w:color w:val="231F20"/>
          <w:spacing w:val="7"/>
        </w:rPr>
        <w:t>•    说明外国子公司股票价值如何产生外汇风险</w:t>
      </w:r>
    </w:p>
    <w:p w14:paraId="545B761C">
      <w:pPr>
        <w:pStyle w:val="2"/>
        <w:spacing w:before="60" w:line="183" w:lineRule="auto"/>
        <w:ind w:left="29"/>
      </w:pPr>
      <w:r>
        <w:rPr>
          <w:color w:val="231F20"/>
          <w:spacing w:val="7"/>
          <w:position w:val="1"/>
        </w:rPr>
        <w:t xml:space="preserve">•    </w:t>
      </w:r>
      <w:r>
        <w:rPr>
          <w:color w:val="231F20"/>
          <w:spacing w:val="7"/>
        </w:rPr>
        <w:t>分析战略和替代长期股权投资的投资风险</w:t>
      </w:r>
    </w:p>
    <w:p w14:paraId="49E51049">
      <w:pPr>
        <w:pStyle w:val="2"/>
        <w:spacing w:before="58" w:line="189" w:lineRule="auto"/>
        <w:ind w:left="29"/>
      </w:pPr>
      <w:r>
        <w:rPr>
          <w:color w:val="231F20"/>
          <w:spacing w:val="8"/>
        </w:rPr>
        <w:t>•    描述固定收益员工养老金计划如何引起养老</w:t>
      </w:r>
      <w:r>
        <w:rPr>
          <w:color w:val="231F20"/>
          <w:spacing w:val="7"/>
        </w:rPr>
        <w:t>金风险</w:t>
      </w:r>
    </w:p>
    <w:p w14:paraId="1BFFAB7C">
      <w:pPr>
        <w:pStyle w:val="2"/>
        <w:spacing w:before="60" w:line="183" w:lineRule="auto"/>
        <w:ind w:left="29"/>
      </w:pPr>
      <w:r>
        <w:rPr>
          <w:color w:val="231F20"/>
          <w:spacing w:val="7"/>
          <w:position w:val="1"/>
        </w:rPr>
        <w:t xml:space="preserve">•    </w:t>
      </w:r>
      <w:r>
        <w:rPr>
          <w:color w:val="231F20"/>
          <w:spacing w:val="7"/>
        </w:rPr>
        <w:t>识别保证客户投资组合中的产品价值风险</w:t>
      </w:r>
    </w:p>
    <w:p w14:paraId="677CAAF9">
      <w:pPr>
        <w:pStyle w:val="2"/>
        <w:spacing w:before="69" w:line="190" w:lineRule="auto"/>
        <w:ind w:left="29"/>
      </w:pPr>
      <w:r>
        <w:rPr>
          <w:color w:val="231F20"/>
          <w:spacing w:val="7"/>
        </w:rPr>
        <w:t>•    确定非贸易市场风险头寸的经济资本消耗</w:t>
      </w:r>
    </w:p>
    <w:p w14:paraId="2BF3EA8A">
      <w:pPr>
        <w:spacing w:line="190" w:lineRule="auto"/>
        <w:sectPr>
          <w:pgSz w:w="10660" w:h="15081"/>
          <w:pgMar w:top="1281" w:right="1167" w:bottom="325" w:left="1309" w:header="0" w:footer="0" w:gutter="0"/>
          <w:cols w:space="720" w:num="1"/>
        </w:sectPr>
      </w:pPr>
      <w:r>
        <w:rPr>
          <w:rFonts w:hint="eastAsia" w:ascii="微软雅黑" w:hAnsi="微软雅黑" w:eastAsia="微软雅黑" w:cs="微软雅黑"/>
          <w:sz w:val="71"/>
          <w:szCs w:val="71"/>
          <w:lang w:eastAsia="zh-CN"/>
        </w:rPr>
        <w:drawing>
          <wp:anchor distT="0" distB="0" distL="114300" distR="114300" simplePos="0" relativeHeight="251707392" behindDoc="0" locked="0" layoutInCell="1" allowOverlap="1">
            <wp:simplePos x="0" y="0"/>
            <wp:positionH relativeFrom="column">
              <wp:posOffset>-820420</wp:posOffset>
            </wp:positionH>
            <wp:positionV relativeFrom="paragraph">
              <wp:posOffset>724535</wp:posOffset>
            </wp:positionV>
            <wp:extent cx="6795770" cy="384810"/>
            <wp:effectExtent l="0" t="0" r="1270" b="11430"/>
            <wp:wrapNone/>
            <wp:docPr id="30" name="图片 30" descr="文字文稿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文字文稿1_01"/>
                    <pic:cNvPicPr>
                      <a:picLocks noChangeAspect="1"/>
                    </pic:cNvPicPr>
                  </pic:nvPicPr>
                  <pic:blipFill>
                    <a:blip r:embed="rId36">
                      <a:lum contrast="6000"/>
                    </a:blip>
                    <a:srcRect t="96008"/>
                    <a:stretch>
                      <a:fillRect/>
                    </a:stretch>
                  </pic:blipFill>
                  <pic:spPr>
                    <a:xfrm>
                      <a:off x="0" y="0"/>
                      <a:ext cx="6795770" cy="384810"/>
                    </a:xfrm>
                    <a:prstGeom prst="rect">
                      <a:avLst/>
                    </a:prstGeom>
                  </pic:spPr>
                </pic:pic>
              </a:graphicData>
            </a:graphic>
          </wp:anchor>
        </w:drawing>
      </w:r>
    </w:p>
    <w:p w14:paraId="235BF0A8">
      <w:pPr>
        <w:pStyle w:val="2"/>
        <w:spacing w:before="105" w:line="197" w:lineRule="auto"/>
        <w:ind w:left="411" w:right="2071" w:hanging="3"/>
        <w:rPr>
          <w:sz w:val="49"/>
          <w:szCs w:val="49"/>
        </w:rPr>
      </w:pPr>
      <w:r>
        <w:rPr>
          <w:color w:val="7F7F7F"/>
          <w:spacing w:val="41"/>
          <w:sz w:val="49"/>
          <w:szCs w:val="49"/>
        </w:rPr>
        <w:t>金融风险与监管</w:t>
      </w:r>
      <w:r>
        <w:rPr>
          <w:color w:val="7F7F7F"/>
          <w:sz w:val="49"/>
          <w:szCs w:val="49"/>
        </w:rPr>
        <w:t>FRR</w:t>
      </w:r>
      <w:r>
        <w:rPr>
          <w:color w:val="7F7F7F"/>
          <w:position w:val="22"/>
          <w:sz w:val="28"/>
          <w:szCs w:val="28"/>
        </w:rPr>
        <w:t>TM</w:t>
      </w:r>
      <w:r>
        <w:rPr>
          <w:color w:val="7F7F7F"/>
          <w:spacing w:val="41"/>
          <w:sz w:val="49"/>
          <w:szCs w:val="49"/>
        </w:rPr>
        <w:t>证书</w:t>
      </w:r>
      <w:r>
        <w:rPr>
          <w:color w:val="7F7F7F"/>
          <w:spacing w:val="6"/>
          <w:sz w:val="49"/>
          <w:szCs w:val="49"/>
        </w:rPr>
        <w:t xml:space="preserve"> </w:t>
      </w:r>
      <w:r>
        <w:rPr>
          <w:color w:val="7F7F7F"/>
          <w:spacing w:val="7"/>
          <w:sz w:val="49"/>
          <w:szCs w:val="49"/>
        </w:rPr>
        <w:t>考试题型示例</w:t>
      </w:r>
    </w:p>
    <w:p w14:paraId="5B98C3C4">
      <w:pPr>
        <w:spacing w:line="249" w:lineRule="auto"/>
        <w:rPr>
          <w:rFonts w:ascii="Arial"/>
          <w:sz w:val="21"/>
        </w:rPr>
      </w:pPr>
    </w:p>
    <w:p w14:paraId="09C9E3BF">
      <w:pPr>
        <w:pStyle w:val="2"/>
        <w:spacing w:before="95" w:line="226" w:lineRule="auto"/>
        <w:ind w:left="436"/>
        <w:rPr>
          <w:sz w:val="22"/>
          <w:szCs w:val="22"/>
        </w:rPr>
      </w:pPr>
      <w:r>
        <w:rPr>
          <w:color w:val="231F20"/>
          <w:sz w:val="22"/>
          <w:szCs w:val="22"/>
        </w:rPr>
        <w:t>FRR</w:t>
      </w:r>
      <w:r>
        <w:rPr>
          <w:color w:val="231F20"/>
          <w:spacing w:val="1"/>
          <w:sz w:val="22"/>
          <w:szCs w:val="22"/>
        </w:rPr>
        <w:t>考试题型为单项选择题</w:t>
      </w:r>
      <w:r>
        <w:rPr>
          <w:color w:val="231F20"/>
          <w:spacing w:val="-14"/>
          <w:sz w:val="22"/>
          <w:szCs w:val="22"/>
        </w:rPr>
        <w:t xml:space="preserve"> </w:t>
      </w:r>
      <w:r>
        <w:rPr>
          <w:color w:val="231F20"/>
          <w:spacing w:val="1"/>
          <w:sz w:val="22"/>
          <w:szCs w:val="22"/>
        </w:rPr>
        <w:t>，共120题。考试时间为两个小时。</w:t>
      </w:r>
    </w:p>
    <w:p w14:paraId="46D9B86F">
      <w:pPr>
        <w:pStyle w:val="2"/>
        <w:spacing w:before="20" w:line="202" w:lineRule="auto"/>
        <w:ind w:left="402" w:right="64"/>
        <w:rPr>
          <w:sz w:val="22"/>
          <w:szCs w:val="22"/>
        </w:rPr>
      </w:pPr>
      <w:r>
        <w:rPr>
          <w:color w:val="231F20"/>
          <w:sz w:val="22"/>
          <w:szCs w:val="22"/>
        </w:rPr>
        <w:t>题目侧重考察的内容和形式有：概念题、计算题、推断题、案例分</w:t>
      </w:r>
      <w:r>
        <w:rPr>
          <w:color w:val="231F20"/>
          <w:spacing w:val="-1"/>
          <w:sz w:val="22"/>
          <w:szCs w:val="22"/>
        </w:rPr>
        <w:t>析题、多项组合题</w:t>
      </w:r>
      <w:r>
        <w:rPr>
          <w:color w:val="231F20"/>
          <w:sz w:val="22"/>
          <w:szCs w:val="22"/>
        </w:rPr>
        <w:t xml:space="preserve"> </w:t>
      </w:r>
      <w:r>
        <w:rPr>
          <w:color w:val="231F20"/>
          <w:spacing w:val="-3"/>
          <w:sz w:val="22"/>
          <w:szCs w:val="22"/>
        </w:rPr>
        <w:t>等。可能出现的题型示例如下</w:t>
      </w:r>
      <w:r>
        <w:rPr>
          <w:color w:val="231F20"/>
          <w:spacing w:val="-24"/>
          <w:sz w:val="22"/>
          <w:szCs w:val="22"/>
        </w:rPr>
        <w:t xml:space="preserve"> </w:t>
      </w:r>
      <w:r>
        <w:rPr>
          <w:color w:val="231F20"/>
          <w:spacing w:val="-3"/>
          <w:sz w:val="22"/>
          <w:szCs w:val="22"/>
        </w:rPr>
        <w:t>，仅供考生参考。</w:t>
      </w:r>
    </w:p>
    <w:p w14:paraId="3DA5D040">
      <w:pPr>
        <w:spacing w:line="314" w:lineRule="auto"/>
        <w:rPr>
          <w:rFonts w:ascii="Arial"/>
          <w:sz w:val="21"/>
        </w:rPr>
      </w:pPr>
    </w:p>
    <w:p w14:paraId="3D1D5ECA">
      <w:pPr>
        <w:spacing w:line="314" w:lineRule="auto"/>
        <w:rPr>
          <w:rFonts w:ascii="Arial"/>
          <w:sz w:val="21"/>
        </w:rPr>
      </w:pPr>
    </w:p>
    <w:p w14:paraId="2612C94E">
      <w:pPr>
        <w:spacing w:line="314" w:lineRule="auto"/>
        <w:rPr>
          <w:rFonts w:ascii="Arial"/>
          <w:sz w:val="21"/>
        </w:rPr>
      </w:pPr>
    </w:p>
    <w:p w14:paraId="3C538788">
      <w:pPr>
        <w:pStyle w:val="2"/>
        <w:spacing w:before="85" w:line="234" w:lineRule="auto"/>
        <w:ind w:left="443"/>
      </w:pPr>
      <w:r>
        <w:rPr>
          <w:color w:val="231F20"/>
          <w:spacing w:val="-2"/>
        </w:rPr>
        <w:t>1.</w:t>
      </w:r>
      <w:r>
        <w:rPr>
          <w:color w:val="231F20"/>
          <w:spacing w:val="36"/>
          <w:w w:val="101"/>
        </w:rPr>
        <w:t xml:space="preserve"> </w:t>
      </w:r>
      <w:r>
        <w:rPr>
          <w:color w:val="231F20"/>
          <w:spacing w:val="-21"/>
          <w:u w:val="single" w:color="auto"/>
        </w:rPr>
        <w:t xml:space="preserve"> </w:t>
      </w:r>
      <w:r>
        <w:rPr>
          <w:color w:val="231F20"/>
          <w:spacing w:val="-2"/>
          <w:u w:val="single" w:color="auto"/>
        </w:rPr>
        <w:t>巴</w:t>
      </w:r>
      <w:r>
        <w:rPr>
          <w:color w:val="231F20"/>
          <w:spacing w:val="-2"/>
        </w:rPr>
        <w:t>塞</w:t>
      </w:r>
      <w:r>
        <w:rPr>
          <w:color w:val="231F20"/>
          <w:spacing w:val="-2"/>
          <w:u w:val="single" w:color="auto"/>
        </w:rPr>
        <w:t>尔协议的支柱3关</w:t>
      </w:r>
      <w:r>
        <w:rPr>
          <w:color w:val="231F20"/>
          <w:spacing w:val="-2"/>
        </w:rPr>
        <w:t>注的是？</w:t>
      </w:r>
    </w:p>
    <w:p w14:paraId="275483E9">
      <w:pPr>
        <w:pStyle w:val="2"/>
        <w:spacing w:before="202" w:line="116" w:lineRule="exact"/>
        <w:ind w:left="2658"/>
      </w:pPr>
      <w:r>
        <w:rPr>
          <w:color w:val="231F20"/>
          <w:position w:val="2"/>
        </w:rPr>
        <w:t>.</w:t>
      </w:r>
    </w:p>
    <w:p w14:paraId="0D1596D0">
      <w:pPr>
        <w:pStyle w:val="2"/>
        <w:spacing w:before="32" w:line="190" w:lineRule="auto"/>
        <w:ind w:left="680"/>
      </w:pPr>
      <w:r>
        <w:rPr>
          <w:color w:val="231F20"/>
          <w:spacing w:val="9"/>
        </w:rPr>
        <w:t>A.提高银行风险敞口的透明度</w:t>
      </w:r>
      <w:r>
        <w:rPr>
          <w:color w:val="231F20"/>
          <w:spacing w:val="-26"/>
        </w:rPr>
        <w:t xml:space="preserve"> </w:t>
      </w:r>
      <w:r>
        <w:rPr>
          <w:color w:val="231F20"/>
          <w:spacing w:val="9"/>
        </w:rPr>
        <w:t>，以及加强银行整体风险头寸的披露</w:t>
      </w:r>
    </w:p>
    <w:p w14:paraId="3DECFB9B">
      <w:pPr>
        <w:pStyle w:val="2"/>
        <w:spacing w:before="40" w:line="190" w:lineRule="auto"/>
        <w:ind w:left="715"/>
      </w:pPr>
      <w:r>
        <w:rPr>
          <w:color w:val="231F20"/>
          <w:spacing w:val="8"/>
        </w:rPr>
        <w:t>B.所需经济资本</w:t>
      </w:r>
      <w:r>
        <w:rPr>
          <w:color w:val="231F20"/>
          <w:spacing w:val="-26"/>
        </w:rPr>
        <w:t xml:space="preserve"> </w:t>
      </w:r>
      <w:r>
        <w:rPr>
          <w:color w:val="231F20"/>
          <w:spacing w:val="8"/>
        </w:rPr>
        <w:t>，即一家银行为了度过困</w:t>
      </w:r>
      <w:r>
        <w:rPr>
          <w:color w:val="231F20"/>
          <w:spacing w:val="7"/>
        </w:rPr>
        <w:t>难时期所需要的资本额</w:t>
      </w:r>
    </w:p>
    <w:p w14:paraId="7D5C2130">
      <w:pPr>
        <w:pStyle w:val="2"/>
        <w:spacing w:before="56" w:line="191" w:lineRule="auto"/>
        <w:ind w:left="700"/>
      </w:pPr>
      <w:r>
        <w:rPr>
          <w:color w:val="231F20"/>
          <w:spacing w:val="9"/>
        </w:rPr>
        <w:t>C.每个银行的内部流程</w:t>
      </w:r>
      <w:r>
        <w:rPr>
          <w:color w:val="231F20"/>
          <w:spacing w:val="-22"/>
        </w:rPr>
        <w:t xml:space="preserve"> </w:t>
      </w:r>
      <w:r>
        <w:rPr>
          <w:color w:val="231F20"/>
          <w:spacing w:val="9"/>
        </w:rPr>
        <w:t>，用来确定能覆盖所有可能出现的风险的资本充足</w:t>
      </w:r>
    </w:p>
    <w:p w14:paraId="7DD1F476">
      <w:pPr>
        <w:pStyle w:val="2"/>
        <w:spacing w:before="40" w:line="190" w:lineRule="auto"/>
        <w:ind w:left="715"/>
      </w:pPr>
      <w:r>
        <w:rPr>
          <w:color w:val="231F20"/>
          <w:spacing w:val="8"/>
        </w:rPr>
        <w:t>D.提高银行风险敞口的透明度</w:t>
      </w:r>
      <w:r>
        <w:rPr>
          <w:color w:val="231F20"/>
          <w:spacing w:val="-26"/>
        </w:rPr>
        <w:t xml:space="preserve"> </w:t>
      </w:r>
      <w:r>
        <w:rPr>
          <w:color w:val="231F20"/>
          <w:spacing w:val="8"/>
        </w:rPr>
        <w:t>，以及加强银行整体</w:t>
      </w:r>
      <w:r>
        <w:rPr>
          <w:color w:val="231F20"/>
          <w:spacing w:val="7"/>
        </w:rPr>
        <w:t>风险头寸的披露</w:t>
      </w:r>
    </w:p>
    <w:p w14:paraId="24BE1149">
      <w:pPr>
        <w:pStyle w:val="2"/>
        <w:spacing w:before="50" w:line="190" w:lineRule="auto"/>
        <w:ind w:left="690"/>
      </w:pPr>
      <w:r>
        <w:rPr>
          <w:color w:val="231F20"/>
          <w:spacing w:val="5"/>
        </w:rPr>
        <w:t>正确答案：</w:t>
      </w:r>
      <w:r>
        <w:rPr>
          <w:color w:val="231F20"/>
          <w:spacing w:val="-27"/>
        </w:rPr>
        <w:t xml:space="preserve"> </w:t>
      </w:r>
      <w:r>
        <w:rPr>
          <w:color w:val="231F20"/>
          <w:spacing w:val="5"/>
        </w:rPr>
        <w:t>D</w:t>
      </w:r>
    </w:p>
    <w:p w14:paraId="215867D3">
      <w:pPr>
        <w:pStyle w:val="2"/>
        <w:spacing w:before="49" w:line="189" w:lineRule="auto"/>
        <w:ind w:left="684"/>
      </w:pPr>
      <w:r>
        <w:rPr>
          <w:color w:val="231F20"/>
          <w:spacing w:val="5"/>
        </w:rPr>
        <w:t>知识点</w:t>
      </w:r>
      <w:r>
        <w:rPr>
          <w:color w:val="231F20"/>
          <w:spacing w:val="-21"/>
        </w:rPr>
        <w:t xml:space="preserve"> </w:t>
      </w:r>
      <w:r>
        <w:rPr>
          <w:color w:val="231F20"/>
          <w:spacing w:val="5"/>
        </w:rPr>
        <w:t>：信用风险管理</w:t>
      </w:r>
    </w:p>
    <w:p w14:paraId="158F135E">
      <w:pPr>
        <w:pStyle w:val="2"/>
        <w:spacing w:before="4" w:line="186" w:lineRule="auto"/>
        <w:ind w:left="414"/>
      </w:pPr>
      <w:r>
        <w:rPr>
          <w:color w:val="231F20"/>
          <w:spacing w:val="-1"/>
        </w:rPr>
        <w:t>2. 如</w:t>
      </w:r>
      <w:r>
        <w:rPr>
          <w:color w:val="231F20"/>
          <w:spacing w:val="-23"/>
          <w:w w:val="42"/>
          <w:position w:val="-20"/>
        </w:rPr>
        <w:t>—</w:t>
      </w:r>
      <w:r>
        <w:rPr>
          <w:color w:val="231F20"/>
          <w:spacing w:val="-1"/>
        </w:rPr>
        <w:t>果</w:t>
      </w:r>
      <w:r>
        <w:rPr>
          <w:color w:val="231F20"/>
          <w:spacing w:val="-1"/>
          <w:u w:val="single" w:color="auto"/>
        </w:rPr>
        <w:t>贷款价值比率（</w:t>
      </w:r>
      <w:r>
        <w:rPr>
          <w:color w:val="231F20"/>
          <w:spacing w:val="-14"/>
          <w:u w:val="single" w:color="auto"/>
        </w:rPr>
        <w:t xml:space="preserve"> </w:t>
      </w:r>
      <w:r>
        <w:rPr>
          <w:color w:val="231F20"/>
          <w:spacing w:val="-1"/>
          <w:u w:val="single" w:color="auto"/>
        </w:rPr>
        <w:t>L</w:t>
      </w:r>
      <w:r>
        <w:rPr>
          <w:color w:val="231F20"/>
          <w:spacing w:val="-1"/>
        </w:rPr>
        <w:t>TV）为90%</w:t>
      </w:r>
      <w:r>
        <w:rPr>
          <w:color w:val="231F20"/>
          <w:spacing w:val="-34"/>
        </w:rPr>
        <w:t xml:space="preserve"> </w:t>
      </w:r>
      <w:r>
        <w:rPr>
          <w:color w:val="231F20"/>
          <w:spacing w:val="-1"/>
        </w:rPr>
        <w:t>，则估值折扣为？</w:t>
      </w:r>
    </w:p>
    <w:p w14:paraId="6172E333">
      <w:pPr>
        <w:pStyle w:val="2"/>
        <w:spacing w:before="76" w:line="115" w:lineRule="exact"/>
        <w:ind w:left="2660"/>
      </w:pPr>
      <w:r>
        <w:rPr>
          <w:color w:val="231F20"/>
          <w:position w:val="2"/>
        </w:rPr>
        <w:t>.</w:t>
      </w:r>
    </w:p>
    <w:p w14:paraId="417BCDC5">
      <w:pPr>
        <w:pStyle w:val="2"/>
        <w:spacing w:before="28" w:line="193" w:lineRule="auto"/>
        <w:ind w:left="680"/>
      </w:pPr>
      <w:r>
        <w:rPr>
          <w:color w:val="231F20"/>
          <w:spacing w:val="4"/>
        </w:rPr>
        <w:t>A.</w:t>
      </w:r>
      <w:r>
        <w:rPr>
          <w:color w:val="231F20"/>
          <w:spacing w:val="-29"/>
        </w:rPr>
        <w:t xml:space="preserve"> </w:t>
      </w:r>
      <w:r>
        <w:rPr>
          <w:color w:val="231F20"/>
          <w:spacing w:val="4"/>
        </w:rPr>
        <w:t>5%</w:t>
      </w:r>
    </w:p>
    <w:p w14:paraId="4E8C3091">
      <w:pPr>
        <w:pStyle w:val="2"/>
        <w:spacing w:line="223" w:lineRule="auto"/>
        <w:ind w:left="715"/>
      </w:pPr>
      <w:r>
        <w:rPr>
          <w:color w:val="231F20"/>
          <w:spacing w:val="1"/>
        </w:rPr>
        <w:t>B.</w:t>
      </w:r>
      <w:r>
        <w:rPr>
          <w:color w:val="231F20"/>
          <w:spacing w:val="-26"/>
        </w:rPr>
        <w:t xml:space="preserve"> </w:t>
      </w:r>
      <w:r>
        <w:rPr>
          <w:color w:val="231F20"/>
          <w:spacing w:val="1"/>
        </w:rPr>
        <w:t>10%</w:t>
      </w:r>
    </w:p>
    <w:p w14:paraId="2BD00A46">
      <w:pPr>
        <w:pStyle w:val="2"/>
        <w:spacing w:before="2" w:line="224" w:lineRule="auto"/>
        <w:ind w:left="700"/>
      </w:pPr>
      <w:r>
        <w:rPr>
          <w:color w:val="231F20"/>
          <w:spacing w:val="10"/>
        </w:rPr>
        <w:t>C.45%</w:t>
      </w:r>
    </w:p>
    <w:p w14:paraId="23B00771">
      <w:pPr>
        <w:pStyle w:val="2"/>
        <w:spacing w:line="359" w:lineRule="exact"/>
        <w:ind w:left="718"/>
      </w:pPr>
      <w:r>
        <w:rPr>
          <w:color w:val="231F20"/>
          <w:spacing w:val="5"/>
          <w:position w:val="3"/>
        </w:rPr>
        <w:t>D.90%</w:t>
      </w:r>
    </w:p>
    <w:p w14:paraId="637BFE2D">
      <w:pPr>
        <w:pStyle w:val="2"/>
        <w:spacing w:before="5" w:line="190" w:lineRule="auto"/>
        <w:ind w:left="690"/>
      </w:pPr>
      <w:r>
        <w:rPr>
          <w:color w:val="231F20"/>
          <w:spacing w:val="7"/>
        </w:rPr>
        <w:t>正确答案：</w:t>
      </w:r>
      <w:r>
        <w:rPr>
          <w:color w:val="231F20"/>
          <w:spacing w:val="-29"/>
        </w:rPr>
        <w:t xml:space="preserve"> </w:t>
      </w:r>
      <w:r>
        <w:rPr>
          <w:color w:val="231F20"/>
          <w:spacing w:val="7"/>
        </w:rPr>
        <w:t>B</w:t>
      </w:r>
    </w:p>
    <w:p w14:paraId="255027A3">
      <w:pPr>
        <w:pStyle w:val="2"/>
        <w:spacing w:before="46" w:line="189" w:lineRule="auto"/>
        <w:ind w:left="684"/>
      </w:pPr>
      <w:r>
        <w:rPr>
          <w:color w:val="231F20"/>
          <w:spacing w:val="5"/>
        </w:rPr>
        <w:t>知识点</w:t>
      </w:r>
      <w:r>
        <w:rPr>
          <w:color w:val="231F20"/>
          <w:spacing w:val="-21"/>
        </w:rPr>
        <w:t xml:space="preserve"> </w:t>
      </w:r>
      <w:r>
        <w:rPr>
          <w:color w:val="231F20"/>
          <w:spacing w:val="5"/>
        </w:rPr>
        <w:t>：信用风险管理</w:t>
      </w:r>
    </w:p>
    <w:p w14:paraId="7C5E198C">
      <w:pPr>
        <w:pStyle w:val="2"/>
        <w:spacing w:before="20" w:line="225" w:lineRule="auto"/>
        <w:ind w:left="705" w:hanging="289"/>
      </w:pPr>
      <w:r>
        <w:rPr>
          <w:color w:val="231F20"/>
          <w:spacing w:val="11"/>
        </w:rPr>
        <w:t>3.</w:t>
      </w:r>
      <w:r>
        <w:rPr>
          <w:color w:val="231F20"/>
          <w:spacing w:val="52"/>
          <w:w w:val="101"/>
        </w:rPr>
        <w:t xml:space="preserve"> </w:t>
      </w:r>
      <w:r>
        <w:rPr>
          <w:color w:val="231F20"/>
          <w:spacing w:val="11"/>
        </w:rPr>
        <w:t>对于一个</w:t>
      </w:r>
      <w:r>
        <w:rPr>
          <w:color w:val="231F20"/>
        </w:rPr>
        <w:t>BB</w:t>
      </w:r>
      <w:r>
        <w:rPr>
          <w:color w:val="231F20"/>
          <w:spacing w:val="11"/>
        </w:rPr>
        <w:t>级企业风险</w:t>
      </w:r>
      <w:r>
        <w:rPr>
          <w:color w:val="231F20"/>
          <w:spacing w:val="-11"/>
        </w:rPr>
        <w:t xml:space="preserve"> </w:t>
      </w:r>
      <w:r>
        <w:rPr>
          <w:color w:val="231F20"/>
          <w:spacing w:val="11"/>
        </w:rPr>
        <w:t>，</w:t>
      </w:r>
      <w:r>
        <w:rPr>
          <w:color w:val="231F20"/>
          <w:spacing w:val="-36"/>
        </w:rPr>
        <w:t xml:space="preserve"> </w:t>
      </w:r>
      <w:r>
        <w:rPr>
          <w:color w:val="231F20"/>
          <w:spacing w:val="11"/>
        </w:rPr>
        <w:t>其敞口违约概率</w:t>
      </w:r>
      <w:r>
        <w:rPr>
          <w:color w:val="231F20"/>
          <w:spacing w:val="-37"/>
        </w:rPr>
        <w:t xml:space="preserve"> </w:t>
      </w:r>
      <w:r>
        <w:rPr>
          <w:color w:val="231F20"/>
          <w:spacing w:val="11"/>
        </w:rPr>
        <w:t xml:space="preserve">（ </w:t>
      </w:r>
      <w:r>
        <w:rPr>
          <w:color w:val="231F20"/>
        </w:rPr>
        <w:t>PD</w:t>
      </w:r>
      <w:r>
        <w:rPr>
          <w:color w:val="231F20"/>
          <w:spacing w:val="11"/>
        </w:rPr>
        <w:t>）</w:t>
      </w:r>
      <w:r>
        <w:rPr>
          <w:color w:val="231F20"/>
          <w:spacing w:val="-24"/>
        </w:rPr>
        <w:t xml:space="preserve"> </w:t>
      </w:r>
      <w:r>
        <w:rPr>
          <w:color w:val="231F20"/>
          <w:spacing w:val="11"/>
        </w:rPr>
        <w:t>为5% ，</w:t>
      </w:r>
      <w:r>
        <w:rPr>
          <w:color w:val="231F20"/>
          <w:spacing w:val="-36"/>
        </w:rPr>
        <w:t xml:space="preserve"> </w:t>
      </w:r>
      <w:r>
        <w:rPr>
          <w:color w:val="231F20"/>
          <w:spacing w:val="11"/>
        </w:rPr>
        <w:t>违约损失率</w:t>
      </w:r>
      <w:r>
        <w:rPr>
          <w:color w:val="231F20"/>
          <w:spacing w:val="-37"/>
        </w:rPr>
        <w:t xml:space="preserve"> </w:t>
      </w:r>
      <w:r>
        <w:rPr>
          <w:color w:val="231F20"/>
          <w:spacing w:val="11"/>
        </w:rPr>
        <w:t xml:space="preserve">（ </w:t>
      </w:r>
      <w:r>
        <w:rPr>
          <w:color w:val="231F20"/>
        </w:rPr>
        <w:t>LGD</w:t>
      </w:r>
      <w:r>
        <w:rPr>
          <w:color w:val="231F20"/>
          <w:spacing w:val="11"/>
        </w:rPr>
        <w:t>）</w:t>
      </w:r>
      <w:r>
        <w:rPr>
          <w:color w:val="231F20"/>
          <w:spacing w:val="-27"/>
        </w:rPr>
        <w:t xml:space="preserve"> </w:t>
      </w:r>
      <w:r>
        <w:rPr>
          <w:color w:val="231F20"/>
          <w:spacing w:val="11"/>
        </w:rPr>
        <w:t>为</w:t>
      </w:r>
      <w:r>
        <w:rPr>
          <w:color w:val="231F20"/>
        </w:rPr>
        <w:t xml:space="preserve">   </w:t>
      </w:r>
      <w:r>
        <w:rPr>
          <w:color w:val="231F20"/>
          <w:spacing w:val="9"/>
        </w:rPr>
        <w:t>10%</w:t>
      </w:r>
      <w:r>
        <w:rPr>
          <w:color w:val="231F20"/>
          <w:spacing w:val="-21"/>
        </w:rPr>
        <w:t xml:space="preserve"> </w:t>
      </w:r>
      <w:r>
        <w:rPr>
          <w:color w:val="231F20"/>
          <w:spacing w:val="9"/>
        </w:rPr>
        <w:t>，违约风险敞口（</w:t>
      </w:r>
      <w:r>
        <w:rPr>
          <w:color w:val="231F20"/>
          <w:spacing w:val="-15"/>
        </w:rPr>
        <w:t xml:space="preserve"> </w:t>
      </w:r>
      <w:r>
        <w:rPr>
          <w:color w:val="231F20"/>
        </w:rPr>
        <w:t>EAD</w:t>
      </w:r>
      <w:r>
        <w:rPr>
          <w:color w:val="231F20"/>
          <w:spacing w:val="9"/>
        </w:rPr>
        <w:t>）</w:t>
      </w:r>
      <w:r>
        <w:rPr>
          <w:color w:val="231F20"/>
          <w:spacing w:val="-37"/>
        </w:rPr>
        <w:t xml:space="preserve"> </w:t>
      </w:r>
      <w:r>
        <w:rPr>
          <w:color w:val="231F20"/>
          <w:spacing w:val="9"/>
        </w:rPr>
        <w:t>为95%</w:t>
      </w:r>
      <w:r>
        <w:rPr>
          <w:color w:val="231F20"/>
          <w:spacing w:val="-21"/>
        </w:rPr>
        <w:t xml:space="preserve"> </w:t>
      </w:r>
      <w:r>
        <w:rPr>
          <w:color w:val="231F20"/>
          <w:spacing w:val="9"/>
        </w:rPr>
        <w:t>，下列哪一种巴塞尔协</w:t>
      </w:r>
      <w:r>
        <w:rPr>
          <w:color w:val="231F20"/>
          <w:spacing w:val="8"/>
        </w:rPr>
        <w:t>议Ⅱ下计算信用风险资本</w:t>
      </w:r>
      <w:r>
        <w:rPr>
          <w:color w:val="231F20"/>
        </w:rPr>
        <w:t xml:space="preserve"> </w:t>
      </w:r>
      <w:r>
        <w:rPr>
          <w:color w:val="231F20"/>
          <w:u w:val="single" w:color="auto"/>
        </w:rPr>
        <w:t>的</w:t>
      </w:r>
      <w:r>
        <w:rPr>
          <w:color w:val="231F20"/>
        </w:rPr>
        <w:t>方</w:t>
      </w:r>
      <w:r>
        <w:rPr>
          <w:color w:val="231F20"/>
          <w:u w:val="single" w:color="auto"/>
        </w:rPr>
        <w:t>法会导致最低的资</w:t>
      </w:r>
      <w:r>
        <w:rPr>
          <w:color w:val="231F20"/>
        </w:rPr>
        <w:t>本要求？</w:t>
      </w:r>
    </w:p>
    <w:p w14:paraId="48CDEB33">
      <w:pPr>
        <w:pStyle w:val="2"/>
        <w:spacing w:before="182" w:line="116" w:lineRule="exact"/>
        <w:ind w:left="2653"/>
      </w:pPr>
      <w:r>
        <w:rPr>
          <w:color w:val="231F20"/>
          <w:position w:val="2"/>
        </w:rPr>
        <w:t>.</w:t>
      </w:r>
    </w:p>
    <w:p w14:paraId="58467584">
      <w:pPr>
        <w:pStyle w:val="2"/>
        <w:spacing w:before="50" w:line="189" w:lineRule="auto"/>
        <w:ind w:left="680"/>
      </w:pPr>
      <w:r>
        <w:rPr>
          <w:color w:val="231F20"/>
          <w:spacing w:val="6"/>
        </w:rPr>
        <w:t>A.</w:t>
      </w:r>
      <w:r>
        <w:rPr>
          <w:color w:val="231F20"/>
          <w:spacing w:val="-29"/>
        </w:rPr>
        <w:t xml:space="preserve"> </w:t>
      </w:r>
      <w:r>
        <w:rPr>
          <w:color w:val="231F20"/>
          <w:spacing w:val="6"/>
        </w:rPr>
        <w:t>内部模型法</w:t>
      </w:r>
    </w:p>
    <w:p w14:paraId="1624F55D">
      <w:pPr>
        <w:pStyle w:val="2"/>
        <w:spacing w:before="48" w:line="190" w:lineRule="auto"/>
        <w:ind w:left="715"/>
      </w:pPr>
      <w:r>
        <w:rPr>
          <w:color w:val="231F20"/>
          <w:spacing w:val="7"/>
        </w:rPr>
        <w:t>B.标准化方法</w:t>
      </w:r>
    </w:p>
    <w:p w14:paraId="483DC858">
      <w:pPr>
        <w:pStyle w:val="2"/>
        <w:spacing w:before="49" w:line="189" w:lineRule="auto"/>
        <w:ind w:left="700"/>
      </w:pPr>
      <w:r>
        <w:rPr>
          <w:color w:val="231F20"/>
          <w:spacing w:val="10"/>
        </w:rPr>
        <w:t>C.替代标准法</w:t>
      </w:r>
    </w:p>
    <w:p w14:paraId="4674F04E">
      <w:pPr>
        <w:pStyle w:val="2"/>
        <w:spacing w:before="59" w:line="190" w:lineRule="auto"/>
        <w:ind w:left="718"/>
      </w:pPr>
      <w:r>
        <w:rPr>
          <w:color w:val="231F20"/>
          <w:spacing w:val="6"/>
        </w:rPr>
        <w:t>D.高级内部评级法</w:t>
      </w:r>
    </w:p>
    <w:p w14:paraId="784D3391">
      <w:pPr>
        <w:pStyle w:val="2"/>
        <w:spacing w:before="38" w:line="190" w:lineRule="auto"/>
        <w:ind w:left="690"/>
      </w:pPr>
      <w:r>
        <w:rPr>
          <w:color w:val="231F20"/>
          <w:spacing w:val="5"/>
        </w:rPr>
        <w:t>正确答案：</w:t>
      </w:r>
      <w:r>
        <w:rPr>
          <w:color w:val="231F20"/>
          <w:spacing w:val="-27"/>
        </w:rPr>
        <w:t xml:space="preserve"> </w:t>
      </w:r>
      <w:r>
        <w:rPr>
          <w:color w:val="231F20"/>
          <w:spacing w:val="5"/>
        </w:rPr>
        <w:t>D</w:t>
      </w:r>
    </w:p>
    <w:p w14:paraId="615607E0">
      <w:pPr>
        <w:pStyle w:val="2"/>
        <w:spacing w:before="47" w:line="189" w:lineRule="auto"/>
        <w:ind w:left="684"/>
      </w:pPr>
      <w:r>
        <w:rPr>
          <w:color w:val="231F20"/>
          <w:spacing w:val="5"/>
        </w:rPr>
        <w:t>知识点</w:t>
      </w:r>
      <w:r>
        <w:rPr>
          <w:color w:val="231F20"/>
          <w:spacing w:val="-21"/>
        </w:rPr>
        <w:t xml:space="preserve"> </w:t>
      </w:r>
      <w:r>
        <w:rPr>
          <w:color w:val="231F20"/>
          <w:spacing w:val="5"/>
        </w:rPr>
        <w:t>：信用风险管理</w:t>
      </w:r>
    </w:p>
    <w:p w14:paraId="27E75A90">
      <w:pPr>
        <w:spacing w:line="284" w:lineRule="auto"/>
        <w:rPr>
          <w:rFonts w:ascii="Arial"/>
          <w:sz w:val="21"/>
        </w:rPr>
      </w:pPr>
      <w:r>
        <w:rPr>
          <w:rFonts w:hint="eastAsia" w:ascii="微软雅黑" w:hAnsi="微软雅黑" w:eastAsia="微软雅黑" w:cs="微软雅黑"/>
          <w:sz w:val="71"/>
          <w:szCs w:val="71"/>
          <w:lang w:eastAsia="zh-CN"/>
        </w:rPr>
        <w:drawing>
          <wp:anchor distT="0" distB="0" distL="114300" distR="114300" simplePos="0" relativeHeight="251708416" behindDoc="0" locked="0" layoutInCell="1" allowOverlap="1">
            <wp:simplePos x="0" y="0"/>
            <wp:positionH relativeFrom="column">
              <wp:posOffset>-820420</wp:posOffset>
            </wp:positionH>
            <wp:positionV relativeFrom="paragraph">
              <wp:posOffset>694690</wp:posOffset>
            </wp:positionV>
            <wp:extent cx="6795770" cy="384810"/>
            <wp:effectExtent l="0" t="0" r="1270" b="11430"/>
            <wp:wrapNone/>
            <wp:docPr id="31" name="图片 31" descr="文字文稿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文字文稿1_01"/>
                    <pic:cNvPicPr>
                      <a:picLocks noChangeAspect="1"/>
                    </pic:cNvPicPr>
                  </pic:nvPicPr>
                  <pic:blipFill>
                    <a:blip r:embed="rId36">
                      <a:lum contrast="6000"/>
                    </a:blip>
                    <a:srcRect t="96008"/>
                    <a:stretch>
                      <a:fillRect/>
                    </a:stretch>
                  </pic:blipFill>
                  <pic:spPr>
                    <a:xfrm>
                      <a:off x="0" y="0"/>
                      <a:ext cx="6795770" cy="384810"/>
                    </a:xfrm>
                    <a:prstGeom prst="rect">
                      <a:avLst/>
                    </a:prstGeom>
                  </pic:spPr>
                </pic:pic>
              </a:graphicData>
            </a:graphic>
          </wp:anchor>
        </w:drawing>
      </w:r>
    </w:p>
    <w:p w14:paraId="242CF094">
      <w:pPr>
        <w:spacing w:line="284" w:lineRule="auto"/>
        <w:rPr>
          <w:rFonts w:ascii="Arial"/>
          <w:sz w:val="21"/>
        </w:rPr>
      </w:pPr>
    </w:p>
    <w:p w14:paraId="26E451F9">
      <w:pPr>
        <w:spacing w:line="284" w:lineRule="auto"/>
        <w:rPr>
          <w:rFonts w:ascii="Arial"/>
          <w:sz w:val="21"/>
        </w:rPr>
      </w:pPr>
    </w:p>
    <w:p w14:paraId="7C2BB226">
      <w:pPr>
        <w:spacing w:line="284" w:lineRule="auto"/>
        <w:rPr>
          <w:rFonts w:ascii="Arial"/>
          <w:sz w:val="21"/>
        </w:rPr>
      </w:pPr>
    </w:p>
    <w:p w14:paraId="2F3BEDA1">
      <w:pPr>
        <w:spacing w:line="284" w:lineRule="auto"/>
        <w:rPr>
          <w:rFonts w:ascii="Arial"/>
          <w:sz w:val="21"/>
        </w:rPr>
      </w:pPr>
    </w:p>
    <w:p w14:paraId="1DF395F3">
      <w:pPr>
        <w:pStyle w:val="2"/>
        <w:spacing w:before="52" w:line="196" w:lineRule="auto"/>
        <w:ind w:left="217" w:right="69" w:hanging="217"/>
      </w:pPr>
      <w:r>
        <w:rPr>
          <w:color w:val="231F20"/>
          <w:spacing w:val="12"/>
        </w:rPr>
        <w:t>4. 经济增长、利率、违约率等宏观经济变量都影响到大部分信用组合风险的计算。在经</w:t>
      </w:r>
      <w:r>
        <w:rPr>
          <w:color w:val="231F20"/>
          <w:spacing w:val="7"/>
        </w:rPr>
        <w:t xml:space="preserve"> </w:t>
      </w:r>
      <w:r>
        <w:rPr>
          <w:color w:val="231F20"/>
          <w:spacing w:val="-1"/>
        </w:rPr>
        <w:t>济</w:t>
      </w:r>
      <w:r>
        <w:rPr>
          <w:color w:val="231F20"/>
          <w:spacing w:val="-26"/>
          <w:w w:val="48"/>
          <w:position w:val="-18"/>
        </w:rPr>
        <w:t>—</w:t>
      </w:r>
      <w:r>
        <w:rPr>
          <w:color w:val="231F20"/>
          <w:spacing w:val="-1"/>
        </w:rPr>
        <w:t>紧</w:t>
      </w:r>
      <w:r>
        <w:rPr>
          <w:color w:val="231F20"/>
          <w:spacing w:val="-1"/>
          <w:u w:val="single" w:color="auto"/>
        </w:rPr>
        <w:t>缩时期</w:t>
      </w:r>
      <w:r>
        <w:rPr>
          <w:color w:val="231F20"/>
          <w:spacing w:val="-25"/>
          <w:u w:val="single" w:color="auto"/>
        </w:rPr>
        <w:t xml:space="preserve"> </w:t>
      </w:r>
      <w:r>
        <w:rPr>
          <w:color w:val="231F20"/>
          <w:spacing w:val="-1"/>
          <w:u w:val="single" w:color="auto"/>
        </w:rPr>
        <w:t>，G银行的</w:t>
      </w:r>
      <w:r>
        <w:rPr>
          <w:color w:val="231F20"/>
          <w:spacing w:val="-1"/>
        </w:rPr>
        <w:t>信用组合最可能经历？</w:t>
      </w:r>
    </w:p>
    <w:p w14:paraId="2BF073E5">
      <w:pPr>
        <w:pStyle w:val="2"/>
        <w:spacing w:before="75" w:line="115" w:lineRule="exact"/>
        <w:ind w:left="2252"/>
      </w:pPr>
      <w:r>
        <w:rPr>
          <w:color w:val="231F20"/>
          <w:position w:val="2"/>
        </w:rPr>
        <w:t>.</w:t>
      </w:r>
    </w:p>
    <w:p w14:paraId="1950F51F">
      <w:pPr>
        <w:pStyle w:val="2"/>
        <w:spacing w:before="43" w:line="190" w:lineRule="auto"/>
        <w:ind w:left="279"/>
      </w:pPr>
      <w:r>
        <w:rPr>
          <w:color w:val="231F20"/>
          <w:spacing w:val="7"/>
        </w:rPr>
        <w:t>A.违约事件增多</w:t>
      </w:r>
      <w:r>
        <w:rPr>
          <w:color w:val="231F20"/>
          <w:spacing w:val="-14"/>
        </w:rPr>
        <w:t xml:space="preserve"> </w:t>
      </w:r>
      <w:r>
        <w:rPr>
          <w:color w:val="231F20"/>
          <w:spacing w:val="7"/>
        </w:rPr>
        <w:t>，信用利差扩大</w:t>
      </w:r>
    </w:p>
    <w:p w14:paraId="490318DD">
      <w:pPr>
        <w:pStyle w:val="2"/>
        <w:spacing w:before="35" w:line="190" w:lineRule="auto"/>
        <w:ind w:left="313"/>
      </w:pPr>
      <w:r>
        <w:rPr>
          <w:color w:val="231F20"/>
          <w:spacing w:val="6"/>
        </w:rPr>
        <w:t>B.违约事件增多</w:t>
      </w:r>
      <w:r>
        <w:rPr>
          <w:color w:val="231F20"/>
          <w:spacing w:val="-19"/>
        </w:rPr>
        <w:t xml:space="preserve"> </w:t>
      </w:r>
      <w:r>
        <w:rPr>
          <w:color w:val="231F20"/>
          <w:spacing w:val="6"/>
        </w:rPr>
        <w:t>，信用利差收窄</w:t>
      </w:r>
    </w:p>
    <w:p w14:paraId="28E9DC65">
      <w:pPr>
        <w:pStyle w:val="2"/>
        <w:spacing w:before="38" w:line="190" w:lineRule="auto"/>
        <w:ind w:left="298"/>
      </w:pPr>
      <w:r>
        <w:rPr>
          <w:color w:val="231F20"/>
          <w:spacing w:val="7"/>
        </w:rPr>
        <w:t>C.违约事件减少</w:t>
      </w:r>
      <w:r>
        <w:rPr>
          <w:color w:val="231F20"/>
          <w:spacing w:val="-25"/>
        </w:rPr>
        <w:t xml:space="preserve"> </w:t>
      </w:r>
      <w:r>
        <w:rPr>
          <w:color w:val="231F20"/>
          <w:spacing w:val="7"/>
        </w:rPr>
        <w:t>，信用利差扩大</w:t>
      </w:r>
    </w:p>
    <w:p w14:paraId="31E6DDA0">
      <w:pPr>
        <w:pStyle w:val="2"/>
        <w:spacing w:before="43" w:line="190" w:lineRule="auto"/>
        <w:ind w:left="316"/>
      </w:pPr>
      <w:r>
        <w:rPr>
          <w:color w:val="231F20"/>
          <w:spacing w:val="5"/>
        </w:rPr>
        <w:t>D.违约事件减少</w:t>
      </w:r>
      <w:r>
        <w:rPr>
          <w:color w:val="231F20"/>
          <w:spacing w:val="-19"/>
        </w:rPr>
        <w:t xml:space="preserve"> </w:t>
      </w:r>
      <w:r>
        <w:rPr>
          <w:color w:val="231F20"/>
          <w:spacing w:val="5"/>
        </w:rPr>
        <w:t>，信用利差收窄</w:t>
      </w:r>
    </w:p>
    <w:p w14:paraId="64E8E056">
      <w:pPr>
        <w:pStyle w:val="2"/>
        <w:spacing w:before="40" w:line="190" w:lineRule="auto"/>
        <w:ind w:left="289"/>
      </w:pPr>
      <w:r>
        <w:rPr>
          <w:color w:val="231F20"/>
          <w:spacing w:val="1"/>
        </w:rPr>
        <w:t>正确答案</w:t>
      </w:r>
      <w:r>
        <w:rPr>
          <w:color w:val="231F20"/>
          <w:spacing w:val="-19"/>
        </w:rPr>
        <w:t xml:space="preserve"> </w:t>
      </w:r>
      <w:r>
        <w:rPr>
          <w:color w:val="231F20"/>
          <w:spacing w:val="1"/>
        </w:rPr>
        <w:t>：A</w:t>
      </w:r>
    </w:p>
    <w:p w14:paraId="5660AE45">
      <w:pPr>
        <w:pStyle w:val="2"/>
        <w:spacing w:before="40" w:line="189" w:lineRule="auto"/>
        <w:ind w:left="282"/>
      </w:pPr>
      <w:r>
        <w:rPr>
          <w:color w:val="231F20"/>
          <w:spacing w:val="5"/>
        </w:rPr>
        <w:t>知识点</w:t>
      </w:r>
      <w:r>
        <w:rPr>
          <w:color w:val="231F20"/>
          <w:spacing w:val="-21"/>
        </w:rPr>
        <w:t xml:space="preserve"> </w:t>
      </w:r>
      <w:r>
        <w:rPr>
          <w:color w:val="231F20"/>
          <w:spacing w:val="5"/>
        </w:rPr>
        <w:t>：信用风险管理</w:t>
      </w:r>
    </w:p>
    <w:p w14:paraId="2BB3C35E">
      <w:pPr>
        <w:pStyle w:val="2"/>
        <w:spacing w:before="5" w:line="213" w:lineRule="auto"/>
        <w:ind w:left="20"/>
      </w:pPr>
      <w:r>
        <w:rPr>
          <w:color w:val="231F20"/>
          <w:spacing w:val="3"/>
        </w:rPr>
        <w:t>5. 金融抵押品通常包括：    Ⅰ.</w:t>
      </w:r>
      <w:r>
        <w:rPr>
          <w:color w:val="231F20"/>
          <w:spacing w:val="28"/>
          <w:w w:val="101"/>
        </w:rPr>
        <w:t xml:space="preserve">  </w:t>
      </w:r>
      <w:r>
        <w:rPr>
          <w:color w:val="231F20"/>
          <w:spacing w:val="3"/>
        </w:rPr>
        <w:t>现金、存款证明（</w:t>
      </w:r>
      <w:r>
        <w:rPr>
          <w:color w:val="231F20"/>
          <w:spacing w:val="-33"/>
        </w:rPr>
        <w:t xml:space="preserve"> </w:t>
      </w:r>
      <w:r>
        <w:rPr>
          <w:color w:val="231F20"/>
        </w:rPr>
        <w:t>CDs</w:t>
      </w:r>
      <w:r>
        <w:rPr>
          <w:color w:val="231F20"/>
          <w:spacing w:val="3"/>
        </w:rPr>
        <w:t>）和其他存款Ⅱ</w:t>
      </w:r>
      <w:r>
        <w:rPr>
          <w:color w:val="231F20"/>
          <w:spacing w:val="2"/>
        </w:rPr>
        <w:t xml:space="preserve"> .</w:t>
      </w:r>
      <w:r>
        <w:rPr>
          <w:color w:val="231F20"/>
          <w:spacing w:val="28"/>
          <w:w w:val="101"/>
        </w:rPr>
        <w:t xml:space="preserve">  </w:t>
      </w:r>
      <w:r>
        <w:rPr>
          <w:color w:val="231F20"/>
          <w:spacing w:val="2"/>
        </w:rPr>
        <w:t>在认可交易所</w:t>
      </w:r>
      <w:r>
        <w:rPr>
          <w:rFonts w:hint="eastAsia"/>
          <w:color w:val="231F20"/>
          <w:spacing w:val="2"/>
          <w:lang w:eastAsia="zh-CN"/>
        </w:rPr>
        <w:t>交易</w:t>
      </w:r>
    </w:p>
    <w:p w14:paraId="5B1E858F">
      <w:pPr>
        <w:pStyle w:val="2"/>
        <w:spacing w:line="213" w:lineRule="auto"/>
        <w:ind w:left="2249" w:right="971" w:hanging="1959"/>
      </w:pPr>
      <w:r>
        <w:rPr>
          <w:color w:val="231F20"/>
          <w:spacing w:val="3"/>
          <w:u w:val="single" w:color="auto"/>
        </w:rPr>
        <w:t>易</w:t>
      </w:r>
      <w:r>
        <w:rPr>
          <w:color w:val="231F20"/>
          <w:spacing w:val="3"/>
        </w:rPr>
        <w:t>的</w:t>
      </w:r>
      <w:r>
        <w:rPr>
          <w:color w:val="231F20"/>
          <w:spacing w:val="3"/>
          <w:u w:val="single" w:color="auto"/>
        </w:rPr>
        <w:t>未评级债券Ⅲ</w:t>
      </w:r>
      <w:r>
        <w:rPr>
          <w:color w:val="231F20"/>
          <w:spacing w:val="-28"/>
          <w:u w:val="single" w:color="auto"/>
        </w:rPr>
        <w:t xml:space="preserve"> </w:t>
      </w:r>
      <w:r>
        <w:rPr>
          <w:color w:val="231F20"/>
          <w:spacing w:val="3"/>
          <w:u w:val="single" w:color="auto"/>
        </w:rPr>
        <w:t>.</w:t>
      </w:r>
      <w:r>
        <w:rPr>
          <w:color w:val="231F20"/>
          <w:spacing w:val="25"/>
          <w:u w:val="single" w:color="auto"/>
        </w:rPr>
        <w:t xml:space="preserve">  </w:t>
      </w:r>
      <w:r>
        <w:rPr>
          <w:color w:val="231F20"/>
          <w:spacing w:val="3"/>
        </w:rPr>
        <w:t>应收账款（欠该公司的商业债务）  Ⅳ</w:t>
      </w:r>
      <w:r>
        <w:rPr>
          <w:color w:val="231F20"/>
          <w:spacing w:val="-30"/>
        </w:rPr>
        <w:t xml:space="preserve"> </w:t>
      </w:r>
      <w:r>
        <w:rPr>
          <w:color w:val="231F20"/>
          <w:spacing w:val="3"/>
        </w:rPr>
        <w:t>.</w:t>
      </w:r>
      <w:r>
        <w:rPr>
          <w:color w:val="231F20"/>
          <w:spacing w:val="26"/>
        </w:rPr>
        <w:t xml:space="preserve">  </w:t>
      </w:r>
      <w:r>
        <w:rPr>
          <w:color w:val="231F20"/>
          <w:spacing w:val="3"/>
        </w:rPr>
        <w:t>私人公司的股权</w:t>
      </w:r>
      <w:r>
        <w:rPr>
          <w:color w:val="231F20"/>
        </w:rPr>
        <w:t xml:space="preserve"> .</w:t>
      </w:r>
    </w:p>
    <w:p w14:paraId="335F6357">
      <w:pPr>
        <w:pStyle w:val="2"/>
        <w:spacing w:before="1" w:line="235" w:lineRule="auto"/>
        <w:ind w:left="279"/>
      </w:pPr>
      <w:r>
        <w:rPr>
          <w:color w:val="231F20"/>
          <w:spacing w:val="-14"/>
        </w:rPr>
        <w:t>A.  Ⅰ</w:t>
      </w:r>
      <w:r>
        <w:rPr>
          <w:color w:val="231F20"/>
          <w:spacing w:val="-35"/>
        </w:rPr>
        <w:t xml:space="preserve"> </w:t>
      </w:r>
      <w:r>
        <w:rPr>
          <w:color w:val="231F20"/>
          <w:spacing w:val="-14"/>
        </w:rPr>
        <w:t>、 Ⅱ</w:t>
      </w:r>
      <w:r>
        <w:rPr>
          <w:color w:val="231F20"/>
          <w:spacing w:val="1"/>
        </w:rPr>
        <w:t xml:space="preserve">                        </w:t>
      </w:r>
      <w:r>
        <w:rPr>
          <w:color w:val="231F20"/>
        </w:rPr>
        <w:t xml:space="preserve">                             </w:t>
      </w:r>
      <w:r>
        <w:rPr>
          <w:color w:val="231F20"/>
          <w:spacing w:val="-14"/>
        </w:rPr>
        <w:t>B.</w:t>
      </w:r>
      <w:r>
        <w:rPr>
          <w:color w:val="231F20"/>
          <w:spacing w:val="5"/>
        </w:rPr>
        <w:t xml:space="preserve">  </w:t>
      </w:r>
      <w:r>
        <w:rPr>
          <w:color w:val="231F20"/>
          <w:spacing w:val="-14"/>
        </w:rPr>
        <w:t>Ⅰ</w:t>
      </w:r>
      <w:r>
        <w:rPr>
          <w:color w:val="231F20"/>
          <w:spacing w:val="-31"/>
        </w:rPr>
        <w:t xml:space="preserve"> </w:t>
      </w:r>
      <w:r>
        <w:rPr>
          <w:color w:val="231F20"/>
          <w:spacing w:val="-14"/>
        </w:rPr>
        <w:t>、Ⅲ</w:t>
      </w:r>
    </w:p>
    <w:p w14:paraId="6095C2EE">
      <w:pPr>
        <w:pStyle w:val="2"/>
        <w:spacing w:before="29" w:line="179" w:lineRule="auto"/>
        <w:ind w:left="298"/>
      </w:pPr>
      <w:r>
        <w:rPr>
          <w:color w:val="231F20"/>
        </w:rPr>
        <w:t>C.</w:t>
      </w:r>
      <w:r>
        <w:rPr>
          <w:color w:val="231F20"/>
          <w:spacing w:val="26"/>
        </w:rPr>
        <w:t xml:space="preserve"> </w:t>
      </w:r>
      <w:r>
        <w:rPr>
          <w:color w:val="231F20"/>
        </w:rPr>
        <w:t>Ⅱ</w:t>
      </w:r>
      <w:r>
        <w:rPr>
          <w:color w:val="231F20"/>
          <w:spacing w:val="-18"/>
        </w:rPr>
        <w:t xml:space="preserve"> </w:t>
      </w:r>
      <w:r>
        <w:rPr>
          <w:color w:val="231F20"/>
        </w:rPr>
        <w:t xml:space="preserve">、Ⅳ                      </w:t>
      </w:r>
      <w:r>
        <w:rPr>
          <w:color w:val="231F20"/>
          <w:spacing w:val="-1"/>
        </w:rPr>
        <w:t xml:space="preserve">                               D.Ⅲ</w:t>
      </w:r>
      <w:r>
        <w:rPr>
          <w:color w:val="231F20"/>
          <w:spacing w:val="-18"/>
        </w:rPr>
        <w:t xml:space="preserve"> </w:t>
      </w:r>
      <w:r>
        <w:rPr>
          <w:color w:val="231F20"/>
          <w:spacing w:val="-1"/>
        </w:rPr>
        <w:t>、Ⅳ</w:t>
      </w:r>
    </w:p>
    <w:p w14:paraId="27A04505">
      <w:pPr>
        <w:pStyle w:val="2"/>
        <w:spacing w:before="62" w:line="190" w:lineRule="auto"/>
        <w:ind w:left="289"/>
      </w:pPr>
      <w:r>
        <w:rPr>
          <w:color w:val="231F20"/>
          <w:spacing w:val="1"/>
        </w:rPr>
        <w:t>正确答案</w:t>
      </w:r>
      <w:r>
        <w:rPr>
          <w:color w:val="231F20"/>
          <w:spacing w:val="-19"/>
        </w:rPr>
        <w:t xml:space="preserve"> </w:t>
      </w:r>
      <w:r>
        <w:rPr>
          <w:color w:val="231F20"/>
          <w:spacing w:val="1"/>
        </w:rPr>
        <w:t>：A</w:t>
      </w:r>
    </w:p>
    <w:p w14:paraId="1563B384">
      <w:pPr>
        <w:pStyle w:val="2"/>
        <w:spacing w:before="39" w:line="189" w:lineRule="auto"/>
        <w:ind w:left="282"/>
      </w:pPr>
      <w:r>
        <w:rPr>
          <w:color w:val="231F20"/>
          <w:spacing w:val="5"/>
        </w:rPr>
        <w:t>知识点</w:t>
      </w:r>
      <w:r>
        <w:rPr>
          <w:color w:val="231F20"/>
          <w:spacing w:val="-21"/>
        </w:rPr>
        <w:t xml:space="preserve"> </w:t>
      </w:r>
      <w:r>
        <w:rPr>
          <w:color w:val="231F20"/>
          <w:spacing w:val="5"/>
        </w:rPr>
        <w:t>：信用风险管理</w:t>
      </w:r>
    </w:p>
    <w:p w14:paraId="57DDF702">
      <w:pPr>
        <w:pStyle w:val="2"/>
        <w:spacing w:before="3" w:line="191" w:lineRule="auto"/>
        <w:ind w:left="12"/>
      </w:pPr>
      <w:r>
        <w:rPr>
          <w:color w:val="231F20"/>
          <w:spacing w:val="2"/>
        </w:rPr>
        <w:t>6. 在</w:t>
      </w:r>
      <w:r>
        <w:rPr>
          <w:color w:val="231F20"/>
          <w:spacing w:val="-23"/>
          <w:w w:val="43"/>
          <w:position w:val="-18"/>
        </w:rPr>
        <w:t>—</w:t>
      </w:r>
      <w:r>
        <w:rPr>
          <w:color w:val="231F20"/>
          <w:spacing w:val="2"/>
        </w:rPr>
        <w:t>巴</w:t>
      </w:r>
      <w:r>
        <w:rPr>
          <w:color w:val="231F20"/>
          <w:spacing w:val="2"/>
          <w:u w:val="single" w:color="auto"/>
        </w:rPr>
        <w:t>塞尔协议Ⅲ下</w:t>
      </w:r>
      <w:r>
        <w:rPr>
          <w:color w:val="231F20"/>
          <w:spacing w:val="-32"/>
          <w:u w:val="single" w:color="auto"/>
        </w:rPr>
        <w:t xml:space="preserve"> </w:t>
      </w:r>
      <w:r>
        <w:rPr>
          <w:color w:val="231F20"/>
          <w:spacing w:val="2"/>
          <w:u w:val="single" w:color="auto"/>
        </w:rPr>
        <w:t>，全</w:t>
      </w:r>
      <w:r>
        <w:rPr>
          <w:color w:val="231F20"/>
          <w:spacing w:val="2"/>
        </w:rPr>
        <w:t>面风险度量是对以下</w:t>
      </w:r>
      <w:r>
        <w:rPr>
          <w:color w:val="231F20"/>
          <w:spacing w:val="1"/>
        </w:rPr>
        <w:t>哪种投资交易组合的增量资本费用？</w:t>
      </w:r>
    </w:p>
    <w:p w14:paraId="28D11796">
      <w:pPr>
        <w:pStyle w:val="2"/>
        <w:spacing w:before="75" w:line="116" w:lineRule="exact"/>
        <w:ind w:left="2256"/>
      </w:pPr>
      <w:r>
        <w:rPr>
          <w:color w:val="231F20"/>
          <w:position w:val="2"/>
        </w:rPr>
        <w:t>.</w:t>
      </w:r>
    </w:p>
    <w:p w14:paraId="1BBD86C2">
      <w:pPr>
        <w:pStyle w:val="2"/>
        <w:spacing w:before="19" w:line="189" w:lineRule="auto"/>
        <w:ind w:left="279"/>
      </w:pPr>
      <w:r>
        <w:rPr>
          <w:color w:val="231F20"/>
          <w:spacing w:val="4"/>
        </w:rPr>
        <w:t>A.互换交易                                                B.期权交易</w:t>
      </w:r>
    </w:p>
    <w:p w14:paraId="3692FA5B">
      <w:pPr>
        <w:pStyle w:val="2"/>
        <w:spacing w:before="43" w:line="190" w:lineRule="auto"/>
        <w:ind w:left="298"/>
      </w:pPr>
      <w:r>
        <w:rPr>
          <w:color w:val="231F20"/>
          <w:spacing w:val="4"/>
        </w:rPr>
        <w:t xml:space="preserve">C.相关性交易                                     </w:t>
      </w:r>
      <w:r>
        <w:rPr>
          <w:color w:val="231F20"/>
          <w:spacing w:val="3"/>
        </w:rPr>
        <w:t xml:space="preserve">        D.协方差交易</w:t>
      </w:r>
    </w:p>
    <w:p w14:paraId="283A2865">
      <w:pPr>
        <w:pStyle w:val="2"/>
        <w:spacing w:before="40" w:line="190" w:lineRule="auto"/>
        <w:ind w:left="289"/>
      </w:pPr>
      <w:r>
        <w:rPr>
          <w:color w:val="231F20"/>
          <w:spacing w:val="4"/>
        </w:rPr>
        <w:t>正确答案</w:t>
      </w:r>
      <w:r>
        <w:rPr>
          <w:color w:val="231F20"/>
          <w:spacing w:val="-18"/>
        </w:rPr>
        <w:t xml:space="preserve"> </w:t>
      </w:r>
      <w:r>
        <w:rPr>
          <w:color w:val="231F20"/>
          <w:spacing w:val="4"/>
        </w:rPr>
        <w:t>：C</w:t>
      </w:r>
    </w:p>
    <w:p w14:paraId="203C8B94">
      <w:pPr>
        <w:pStyle w:val="2"/>
        <w:spacing w:before="40" w:line="190" w:lineRule="auto"/>
        <w:ind w:left="282"/>
      </w:pPr>
      <w:r>
        <w:rPr>
          <w:color w:val="231F20"/>
          <w:spacing w:val="5"/>
        </w:rPr>
        <w:t>知识点</w:t>
      </w:r>
      <w:r>
        <w:rPr>
          <w:color w:val="231F20"/>
          <w:spacing w:val="-21"/>
        </w:rPr>
        <w:t xml:space="preserve"> </w:t>
      </w:r>
      <w:r>
        <w:rPr>
          <w:color w:val="231F20"/>
          <w:spacing w:val="5"/>
        </w:rPr>
        <w:t>：市场风险管理</w:t>
      </w:r>
    </w:p>
    <w:p w14:paraId="0B0E16DC">
      <w:pPr>
        <w:pStyle w:val="2"/>
        <w:spacing w:before="4" w:line="220" w:lineRule="auto"/>
        <w:ind w:left="285" w:right="66" w:hanging="271"/>
      </w:pPr>
      <w:r>
        <w:rPr>
          <w:color w:val="231F20"/>
          <w:spacing w:val="8"/>
        </w:rPr>
        <w:t>7. 信用利差是如何由它的三个驱动因子违约概率（</w:t>
      </w:r>
      <w:r>
        <w:rPr>
          <w:color w:val="231F20"/>
          <w:spacing w:val="-18"/>
        </w:rPr>
        <w:t xml:space="preserve"> </w:t>
      </w:r>
      <w:r>
        <w:rPr>
          <w:color w:val="231F20"/>
        </w:rPr>
        <w:t>PD</w:t>
      </w:r>
      <w:r>
        <w:rPr>
          <w:color w:val="231F20"/>
          <w:spacing w:val="8"/>
        </w:rPr>
        <w:t>）</w:t>
      </w:r>
      <w:r>
        <w:rPr>
          <w:color w:val="231F20"/>
          <w:spacing w:val="-31"/>
        </w:rPr>
        <w:t xml:space="preserve"> </w:t>
      </w:r>
      <w:r>
        <w:rPr>
          <w:color w:val="231F20"/>
          <w:spacing w:val="8"/>
        </w:rPr>
        <w:t>、</w:t>
      </w:r>
      <w:r>
        <w:rPr>
          <w:color w:val="231F20"/>
          <w:spacing w:val="7"/>
        </w:rPr>
        <w:t>违约损失率（</w:t>
      </w:r>
      <w:r>
        <w:rPr>
          <w:color w:val="231F20"/>
          <w:spacing w:val="-17"/>
        </w:rPr>
        <w:t xml:space="preserve"> </w:t>
      </w:r>
      <w:r>
        <w:rPr>
          <w:color w:val="231F20"/>
        </w:rPr>
        <w:t>LGD</w:t>
      </w:r>
      <w:r>
        <w:rPr>
          <w:color w:val="231F20"/>
          <w:spacing w:val="7"/>
        </w:rPr>
        <w:t>）和风险溢</w:t>
      </w:r>
      <w:r>
        <w:rPr>
          <w:color w:val="231F20"/>
        </w:rPr>
        <w:t xml:space="preserve"> </w:t>
      </w:r>
      <w:r>
        <w:rPr>
          <w:color w:val="231F20"/>
          <w:spacing w:val="-4"/>
          <w:u w:val="single" w:color="auto"/>
        </w:rPr>
        <w:t>价</w:t>
      </w:r>
      <w:r>
        <w:rPr>
          <w:color w:val="231F20"/>
          <w:spacing w:val="-4"/>
        </w:rPr>
        <w:t xml:space="preserve"> </w:t>
      </w:r>
      <w:r>
        <w:rPr>
          <w:color w:val="231F20"/>
          <w:spacing w:val="-4"/>
          <w:u w:val="single" w:color="auto"/>
        </w:rPr>
        <w:t xml:space="preserve">（RP）得出的？      </w:t>
      </w:r>
    </w:p>
    <w:p w14:paraId="5B45D2DD">
      <w:pPr>
        <w:pStyle w:val="2"/>
        <w:spacing w:before="186" w:line="116" w:lineRule="exact"/>
        <w:ind w:left="2249"/>
      </w:pPr>
      <w:r>
        <w:rPr>
          <w:color w:val="231F20"/>
          <w:position w:val="2"/>
        </w:rPr>
        <w:t>.</w:t>
      </w:r>
    </w:p>
    <w:p w14:paraId="036F0808">
      <w:pPr>
        <w:pStyle w:val="2"/>
        <w:spacing w:before="44" w:line="190" w:lineRule="auto"/>
        <w:ind w:left="279"/>
      </w:pPr>
      <w:r>
        <w:rPr>
          <w:color w:val="231F20"/>
          <w:spacing w:val="7"/>
        </w:rPr>
        <w:t>A.信用利差=违约概率+违约损失率+风险溢价</w:t>
      </w:r>
    </w:p>
    <w:p w14:paraId="630C0896">
      <w:pPr>
        <w:pStyle w:val="2"/>
        <w:spacing w:before="38" w:line="190" w:lineRule="auto"/>
        <w:ind w:left="313"/>
      </w:pPr>
      <w:r>
        <w:rPr>
          <w:color w:val="231F20"/>
          <w:spacing w:val="5"/>
        </w:rPr>
        <w:t>B.信用利差</w:t>
      </w:r>
      <w:r>
        <w:rPr>
          <w:color w:val="231F20"/>
          <w:spacing w:val="-15"/>
        </w:rPr>
        <w:t xml:space="preserve"> </w:t>
      </w:r>
      <w:r>
        <w:rPr>
          <w:color w:val="231F20"/>
          <w:spacing w:val="5"/>
        </w:rPr>
        <w:t>=违约概率x违约损失率+风险溢价</w:t>
      </w:r>
    </w:p>
    <w:p w14:paraId="13C72FFE">
      <w:pPr>
        <w:pStyle w:val="2"/>
        <w:spacing w:before="38" w:line="190" w:lineRule="auto"/>
        <w:ind w:left="298"/>
      </w:pPr>
      <w:r>
        <w:rPr>
          <w:color w:val="231F20"/>
          <w:spacing w:val="9"/>
        </w:rPr>
        <w:t>C.信用利差</w:t>
      </w:r>
      <w:r>
        <w:rPr>
          <w:color w:val="231F20"/>
          <w:spacing w:val="-32"/>
        </w:rPr>
        <w:t xml:space="preserve"> </w:t>
      </w:r>
      <w:r>
        <w:rPr>
          <w:color w:val="231F20"/>
          <w:spacing w:val="9"/>
        </w:rPr>
        <w:t>=违约概率x违约损失率-风险溢价</w:t>
      </w:r>
    </w:p>
    <w:p w14:paraId="1D0E0E43">
      <w:pPr>
        <w:pStyle w:val="2"/>
        <w:spacing w:before="40" w:line="190" w:lineRule="auto"/>
        <w:ind w:left="313"/>
      </w:pPr>
      <w:r>
        <w:rPr>
          <w:color w:val="231F20"/>
          <w:spacing w:val="6"/>
        </w:rPr>
        <w:t>D.信用利差</w:t>
      </w:r>
      <w:r>
        <w:rPr>
          <w:color w:val="231F20"/>
          <w:spacing w:val="-16"/>
        </w:rPr>
        <w:t xml:space="preserve"> </w:t>
      </w:r>
      <w:r>
        <w:rPr>
          <w:color w:val="231F20"/>
          <w:spacing w:val="6"/>
        </w:rPr>
        <w:t>=违约概率+违约损失率-风险溢价</w:t>
      </w:r>
    </w:p>
    <w:p w14:paraId="4B35117E">
      <w:pPr>
        <w:pStyle w:val="2"/>
        <w:spacing w:before="43" w:line="190" w:lineRule="auto"/>
        <w:ind w:left="289"/>
      </w:pPr>
      <w:r>
        <w:rPr>
          <w:color w:val="231F20"/>
          <w:spacing w:val="7"/>
        </w:rPr>
        <w:t>正确答案：</w:t>
      </w:r>
      <w:r>
        <w:rPr>
          <w:color w:val="231F20"/>
          <w:spacing w:val="-32"/>
        </w:rPr>
        <w:t xml:space="preserve"> </w:t>
      </w:r>
      <w:r>
        <w:rPr>
          <w:color w:val="231F20"/>
          <w:spacing w:val="7"/>
        </w:rPr>
        <w:t>B</w:t>
      </w:r>
    </w:p>
    <w:p w14:paraId="3490B039">
      <w:pPr>
        <w:pStyle w:val="2"/>
        <w:spacing w:before="40" w:line="190" w:lineRule="auto"/>
        <w:ind w:left="282"/>
      </w:pPr>
      <w:r>
        <w:rPr>
          <w:color w:val="231F20"/>
          <w:spacing w:val="5"/>
        </w:rPr>
        <w:t>知识点</w:t>
      </w:r>
      <w:r>
        <w:rPr>
          <w:color w:val="231F20"/>
          <w:spacing w:val="-21"/>
        </w:rPr>
        <w:t xml:space="preserve"> </w:t>
      </w:r>
      <w:r>
        <w:rPr>
          <w:color w:val="231F20"/>
          <w:spacing w:val="5"/>
        </w:rPr>
        <w:t>：市场风险管理</w:t>
      </w:r>
    </w:p>
    <w:p w14:paraId="2812503A">
      <w:pPr>
        <w:pStyle w:val="2"/>
        <w:spacing w:before="5" w:line="224" w:lineRule="auto"/>
        <w:ind w:left="295" w:right="108" w:hanging="282"/>
      </w:pPr>
      <w:r>
        <w:rPr>
          <w:color w:val="231F20"/>
          <w:spacing w:val="10"/>
        </w:rPr>
        <w:t>8.</w:t>
      </w:r>
      <w:r>
        <w:rPr>
          <w:color w:val="231F20"/>
          <w:spacing w:val="39"/>
        </w:rPr>
        <w:t xml:space="preserve"> </w:t>
      </w:r>
      <w:r>
        <w:rPr>
          <w:color w:val="231F20"/>
          <w:spacing w:val="10"/>
        </w:rPr>
        <w:t>山姆持有价值100万美元的多头债券投资组合头寸</w:t>
      </w:r>
      <w:r>
        <w:rPr>
          <w:color w:val="231F20"/>
          <w:spacing w:val="-21"/>
        </w:rPr>
        <w:t xml:space="preserve"> </w:t>
      </w:r>
      <w:r>
        <w:rPr>
          <w:color w:val="231F20"/>
          <w:spacing w:val="10"/>
        </w:rPr>
        <w:t>，久期为10</w:t>
      </w:r>
      <w:r>
        <w:rPr>
          <w:color w:val="231F20"/>
          <w:spacing w:val="-18"/>
        </w:rPr>
        <w:t xml:space="preserve"> </w:t>
      </w:r>
      <w:r>
        <w:rPr>
          <w:color w:val="231F20"/>
          <w:spacing w:val="10"/>
        </w:rPr>
        <w:t>，基点现值</w:t>
      </w:r>
      <w:r>
        <w:rPr>
          <w:color w:val="231F20"/>
          <w:spacing w:val="9"/>
        </w:rPr>
        <w:t>（</w:t>
      </w:r>
      <w:r>
        <w:rPr>
          <w:color w:val="231F20"/>
          <w:spacing w:val="-13"/>
        </w:rPr>
        <w:t xml:space="preserve"> </w:t>
      </w:r>
      <w:r>
        <w:rPr>
          <w:color w:val="231F20"/>
        </w:rPr>
        <w:t>PVBP</w:t>
      </w:r>
      <w:r>
        <w:rPr>
          <w:color w:val="231F20"/>
          <w:spacing w:val="9"/>
        </w:rPr>
        <w:t>）</w:t>
      </w:r>
      <w:r>
        <w:rPr>
          <w:color w:val="231F20"/>
        </w:rPr>
        <w:t xml:space="preserve"> </w:t>
      </w:r>
      <w:r>
        <w:rPr>
          <w:color w:val="231F20"/>
          <w:spacing w:val="8"/>
          <w:u w:val="single" w:color="auto"/>
        </w:rPr>
        <w:t>为</w:t>
      </w:r>
      <w:r>
        <w:rPr>
          <w:color w:val="231F20"/>
          <w:spacing w:val="8"/>
        </w:rPr>
        <w:t>1</w:t>
      </w:r>
      <w:r>
        <w:rPr>
          <w:color w:val="231F20"/>
          <w:spacing w:val="8"/>
          <w:u w:val="single" w:color="auto"/>
        </w:rPr>
        <w:t>000万美元。为对</w:t>
      </w:r>
      <w:r>
        <w:rPr>
          <w:color w:val="231F20"/>
          <w:spacing w:val="8"/>
        </w:rPr>
        <w:t>冲期限结构中利率小幅平行移动的影响</w:t>
      </w:r>
      <w:r>
        <w:rPr>
          <w:color w:val="231F20"/>
          <w:spacing w:val="-28"/>
        </w:rPr>
        <w:t xml:space="preserve"> </w:t>
      </w:r>
      <w:r>
        <w:rPr>
          <w:color w:val="231F20"/>
          <w:spacing w:val="8"/>
        </w:rPr>
        <w:t>，他可以采用：</w:t>
      </w:r>
    </w:p>
    <w:p w14:paraId="40AC9799">
      <w:pPr>
        <w:pStyle w:val="2"/>
        <w:spacing w:before="195" w:line="101" w:lineRule="exact"/>
        <w:ind w:left="2256"/>
      </w:pPr>
      <w:r>
        <w:rPr>
          <w:color w:val="231F20"/>
          <w:position w:val="2"/>
        </w:rPr>
        <w:t>.</w:t>
      </w:r>
    </w:p>
    <w:p w14:paraId="13D6FFD0">
      <w:pPr>
        <w:pStyle w:val="2"/>
        <w:spacing w:before="1" w:line="214" w:lineRule="auto"/>
        <w:ind w:left="279"/>
      </w:pPr>
      <w:r>
        <w:rPr>
          <w:color w:val="231F20"/>
          <w:spacing w:val="10"/>
        </w:rPr>
        <w:t>A.久期为1的价值100万的多头头寸</w:t>
      </w:r>
    </w:p>
    <w:p w14:paraId="4909BF88">
      <w:pPr>
        <w:pStyle w:val="2"/>
        <w:spacing w:line="218" w:lineRule="auto"/>
        <w:ind w:left="313"/>
      </w:pPr>
      <w:r>
        <w:rPr>
          <w:color w:val="231F20"/>
          <w:spacing w:val="9"/>
        </w:rPr>
        <w:t>B.久期为1的价值1000万的多头头寸</w:t>
      </w:r>
    </w:p>
    <w:p w14:paraId="6920AA19">
      <w:pPr>
        <w:pStyle w:val="2"/>
        <w:spacing w:line="218" w:lineRule="auto"/>
        <w:ind w:left="298"/>
      </w:pPr>
      <w:r>
        <w:rPr>
          <w:color w:val="231F20"/>
          <w:spacing w:val="9"/>
        </w:rPr>
        <w:t>C.久期为10的价值100万的空头头寸</w:t>
      </w:r>
    </w:p>
    <w:p w14:paraId="67F3FDDE">
      <w:pPr>
        <w:pStyle w:val="2"/>
        <w:spacing w:before="1" w:line="233" w:lineRule="auto"/>
        <w:ind w:left="313"/>
      </w:pPr>
      <w:r>
        <w:rPr>
          <w:color w:val="231F20"/>
          <w:spacing w:val="8"/>
        </w:rPr>
        <w:t>D.久期为10的价值100万的空头头寸</w:t>
      </w:r>
    </w:p>
    <w:p w14:paraId="55BDB777">
      <w:pPr>
        <w:pStyle w:val="2"/>
        <w:spacing w:before="18" w:line="190" w:lineRule="auto"/>
        <w:ind w:left="289"/>
      </w:pPr>
      <w:r>
        <w:rPr>
          <w:color w:val="231F20"/>
          <w:spacing w:val="5"/>
        </w:rPr>
        <w:t>正确答案：</w:t>
      </w:r>
      <w:r>
        <w:rPr>
          <w:color w:val="231F20"/>
          <w:spacing w:val="-29"/>
        </w:rPr>
        <w:t xml:space="preserve"> </w:t>
      </w:r>
      <w:r>
        <w:rPr>
          <w:color w:val="231F20"/>
          <w:spacing w:val="5"/>
        </w:rPr>
        <w:t>D</w:t>
      </w:r>
    </w:p>
    <w:p w14:paraId="4E618EB5">
      <w:pPr>
        <w:pStyle w:val="2"/>
        <w:spacing w:before="41" w:line="190" w:lineRule="auto"/>
        <w:ind w:left="282"/>
      </w:pPr>
      <w:r>
        <w:rPr>
          <w:color w:val="231F20"/>
          <w:spacing w:val="5"/>
        </w:rPr>
        <w:t>知识点</w:t>
      </w:r>
      <w:r>
        <w:rPr>
          <w:color w:val="231F20"/>
          <w:spacing w:val="-21"/>
        </w:rPr>
        <w:t xml:space="preserve"> </w:t>
      </w:r>
      <w:r>
        <w:rPr>
          <w:color w:val="231F20"/>
          <w:spacing w:val="5"/>
        </w:rPr>
        <w:t>：市场风险管理</w:t>
      </w:r>
    </w:p>
    <w:p w14:paraId="49A87FD0">
      <w:pPr>
        <w:spacing w:line="190" w:lineRule="auto"/>
        <w:sectPr>
          <w:footerReference r:id="rId21" w:type="default"/>
          <w:pgSz w:w="10660" w:h="15081"/>
          <w:pgMar w:top="1249" w:right="1167" w:bottom="325" w:left="1309" w:header="0" w:footer="0" w:gutter="0"/>
          <w:cols w:space="720" w:num="1"/>
        </w:sectPr>
      </w:pPr>
      <w:r>
        <w:rPr>
          <w:rFonts w:hint="eastAsia" w:ascii="微软雅黑" w:hAnsi="微软雅黑" w:eastAsia="微软雅黑" w:cs="微软雅黑"/>
          <w:sz w:val="71"/>
          <w:szCs w:val="71"/>
          <w:lang w:eastAsia="zh-CN"/>
        </w:rPr>
        <w:drawing>
          <wp:anchor distT="0" distB="0" distL="114300" distR="114300" simplePos="0" relativeHeight="251709440" behindDoc="0" locked="0" layoutInCell="1" allowOverlap="1">
            <wp:simplePos x="0" y="0"/>
            <wp:positionH relativeFrom="column">
              <wp:posOffset>-820420</wp:posOffset>
            </wp:positionH>
            <wp:positionV relativeFrom="paragraph">
              <wp:posOffset>102870</wp:posOffset>
            </wp:positionV>
            <wp:extent cx="6795770" cy="384810"/>
            <wp:effectExtent l="0" t="0" r="1270" b="11430"/>
            <wp:wrapNone/>
            <wp:docPr id="33" name="图片 33" descr="文字文稿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文字文稿1_01"/>
                    <pic:cNvPicPr>
                      <a:picLocks noChangeAspect="1"/>
                    </pic:cNvPicPr>
                  </pic:nvPicPr>
                  <pic:blipFill>
                    <a:blip r:embed="rId36">
                      <a:lum contrast="6000"/>
                    </a:blip>
                    <a:srcRect t="96008"/>
                    <a:stretch>
                      <a:fillRect/>
                    </a:stretch>
                  </pic:blipFill>
                  <pic:spPr>
                    <a:xfrm>
                      <a:off x="0" y="0"/>
                      <a:ext cx="6795770" cy="384810"/>
                    </a:xfrm>
                    <a:prstGeom prst="rect">
                      <a:avLst/>
                    </a:prstGeom>
                  </pic:spPr>
                </pic:pic>
              </a:graphicData>
            </a:graphic>
          </wp:anchor>
        </w:drawing>
      </w:r>
    </w:p>
    <w:p w14:paraId="21DB17E0">
      <w:pPr>
        <w:pStyle w:val="2"/>
        <w:spacing w:before="53" w:line="225" w:lineRule="auto"/>
        <w:ind w:left="270" w:right="66" w:hanging="270"/>
      </w:pPr>
      <w:r>
        <w:rPr>
          <w:color w:val="231F20"/>
          <w:spacing w:val="18"/>
        </w:rPr>
        <w:t>9.</w:t>
      </w:r>
      <w:r>
        <w:rPr>
          <w:color w:val="231F20"/>
          <w:spacing w:val="34"/>
        </w:rPr>
        <w:t xml:space="preserve"> </w:t>
      </w:r>
      <w:r>
        <w:rPr>
          <w:color w:val="231F20"/>
          <w:spacing w:val="18"/>
        </w:rPr>
        <w:t>一位投资组合经理想要使用</w:t>
      </w:r>
      <w:r>
        <w:rPr>
          <w:color w:val="231F20"/>
        </w:rPr>
        <w:t>Google</w:t>
      </w:r>
      <w:r>
        <w:rPr>
          <w:color w:val="231F20"/>
          <w:spacing w:val="18"/>
        </w:rPr>
        <w:t>（</w:t>
      </w:r>
      <w:r>
        <w:rPr>
          <w:color w:val="231F20"/>
          <w:spacing w:val="-18"/>
        </w:rPr>
        <w:t xml:space="preserve"> </w:t>
      </w:r>
      <w:r>
        <w:rPr>
          <w:color w:val="231F20"/>
        </w:rPr>
        <w:t>GOOG</w:t>
      </w:r>
      <w:r>
        <w:rPr>
          <w:color w:val="231F20"/>
          <w:spacing w:val="18"/>
        </w:rPr>
        <w:t>）</w:t>
      </w:r>
      <w:r>
        <w:rPr>
          <w:color w:val="231F20"/>
          <w:spacing w:val="-26"/>
        </w:rPr>
        <w:t xml:space="preserve"> </w:t>
      </w:r>
      <w:r>
        <w:rPr>
          <w:color w:val="231F20"/>
          <w:spacing w:val="18"/>
        </w:rPr>
        <w:t>的股票头寸得出</w:t>
      </w:r>
      <w:r>
        <w:rPr>
          <w:color w:val="231F20"/>
        </w:rPr>
        <w:t>Apple</w:t>
      </w:r>
      <w:r>
        <w:rPr>
          <w:color w:val="231F20"/>
          <w:spacing w:val="18"/>
        </w:rPr>
        <w:t>（</w:t>
      </w:r>
      <w:r>
        <w:rPr>
          <w:color w:val="231F20"/>
          <w:spacing w:val="-27"/>
        </w:rPr>
        <w:t xml:space="preserve"> </w:t>
      </w:r>
      <w:r>
        <w:rPr>
          <w:color w:val="231F20"/>
        </w:rPr>
        <w:t>AAPL</w:t>
      </w:r>
      <w:r>
        <w:rPr>
          <w:color w:val="231F20"/>
          <w:spacing w:val="18"/>
        </w:rPr>
        <w:t>）</w:t>
      </w:r>
      <w:r>
        <w:rPr>
          <w:color w:val="231F20"/>
          <w:spacing w:val="-26"/>
        </w:rPr>
        <w:t xml:space="preserve"> </w:t>
      </w:r>
      <w:r>
        <w:rPr>
          <w:color w:val="231F20"/>
          <w:spacing w:val="18"/>
        </w:rPr>
        <w:t>的</w:t>
      </w:r>
      <w:r>
        <w:rPr>
          <w:color w:val="231F20"/>
        </w:rPr>
        <w:t xml:space="preserve">  </w:t>
      </w:r>
      <w:r>
        <w:rPr>
          <w:color w:val="231F20"/>
          <w:spacing w:val="21"/>
        </w:rPr>
        <w:t>等价风险映射头寸</w:t>
      </w:r>
      <w:r>
        <w:rPr>
          <w:color w:val="231F20"/>
          <w:spacing w:val="-29"/>
        </w:rPr>
        <w:t xml:space="preserve"> </w:t>
      </w:r>
      <w:r>
        <w:rPr>
          <w:color w:val="231F20"/>
          <w:spacing w:val="21"/>
        </w:rPr>
        <w:t>。</w:t>
      </w:r>
      <w:r>
        <w:rPr>
          <w:color w:val="231F20"/>
          <w:spacing w:val="-34"/>
        </w:rPr>
        <w:t xml:space="preserve"> </w:t>
      </w:r>
      <w:r>
        <w:rPr>
          <w:color w:val="231F20"/>
          <w:spacing w:val="21"/>
        </w:rPr>
        <w:t>若</w:t>
      </w:r>
      <w:r>
        <w:rPr>
          <w:color w:val="231F20"/>
        </w:rPr>
        <w:t>AAPL</w:t>
      </w:r>
      <w:r>
        <w:rPr>
          <w:color w:val="231F20"/>
          <w:spacing w:val="21"/>
        </w:rPr>
        <w:t>的1天95％</w:t>
      </w:r>
      <w:r>
        <w:rPr>
          <w:color w:val="231F20"/>
        </w:rPr>
        <w:t>VaR</w:t>
      </w:r>
      <w:r>
        <w:rPr>
          <w:color w:val="231F20"/>
          <w:spacing w:val="21"/>
        </w:rPr>
        <w:t>为3 .</w:t>
      </w:r>
      <w:r>
        <w:rPr>
          <w:color w:val="231F20"/>
          <w:spacing w:val="-35"/>
        </w:rPr>
        <w:t xml:space="preserve"> </w:t>
      </w:r>
      <w:r>
        <w:rPr>
          <w:color w:val="231F20"/>
          <w:spacing w:val="21"/>
        </w:rPr>
        <w:t>66</w:t>
      </w:r>
      <w:r>
        <w:rPr>
          <w:color w:val="231F20"/>
          <w:spacing w:val="-3"/>
        </w:rPr>
        <w:t>％</w:t>
      </w:r>
      <w:r>
        <w:rPr>
          <w:color w:val="231F20"/>
          <w:spacing w:val="12"/>
        </w:rPr>
        <w:t xml:space="preserve"> </w:t>
      </w:r>
      <w:r>
        <w:rPr>
          <w:color w:val="231F20"/>
          <w:spacing w:val="-3"/>
        </w:rPr>
        <w:t>，</w:t>
      </w:r>
      <w:r>
        <w:rPr>
          <w:color w:val="231F20"/>
          <w:spacing w:val="-26"/>
        </w:rPr>
        <w:t xml:space="preserve"> </w:t>
      </w:r>
      <w:r>
        <w:rPr>
          <w:color w:val="231F20"/>
        </w:rPr>
        <w:t>GOOG</w:t>
      </w:r>
      <w:r>
        <w:rPr>
          <w:color w:val="231F20"/>
          <w:spacing w:val="21"/>
        </w:rPr>
        <w:t>的1天95％</w:t>
      </w:r>
      <w:r>
        <w:rPr>
          <w:color w:val="231F20"/>
        </w:rPr>
        <w:t>VaR</w:t>
      </w:r>
      <w:r>
        <w:rPr>
          <w:color w:val="231F20"/>
          <w:spacing w:val="21"/>
        </w:rPr>
        <w:t>为</w:t>
      </w:r>
      <w:r>
        <w:rPr>
          <w:color w:val="231F20"/>
        </w:rPr>
        <w:t xml:space="preserve"> </w:t>
      </w:r>
      <w:r>
        <w:rPr>
          <w:color w:val="231F20"/>
          <w:spacing w:val="10"/>
        </w:rPr>
        <w:t>3.24</w:t>
      </w:r>
      <w:r>
        <w:rPr>
          <w:color w:val="231F20"/>
          <w:spacing w:val="-7"/>
        </w:rPr>
        <w:t>％</w:t>
      </w:r>
      <w:r>
        <w:rPr>
          <w:color w:val="231F20"/>
          <w:spacing w:val="-4"/>
        </w:rPr>
        <w:t xml:space="preserve"> </w:t>
      </w:r>
      <w:r>
        <w:rPr>
          <w:color w:val="231F20"/>
          <w:spacing w:val="-7"/>
        </w:rPr>
        <w:t>，</w:t>
      </w:r>
      <w:r>
        <w:rPr>
          <w:color w:val="231F20"/>
          <w:spacing w:val="10"/>
        </w:rPr>
        <w:t>且它们的相关系数为0.98</w:t>
      </w:r>
      <w:r>
        <w:rPr>
          <w:color w:val="231F20"/>
          <w:spacing w:val="-23"/>
        </w:rPr>
        <w:t xml:space="preserve"> </w:t>
      </w:r>
      <w:r>
        <w:rPr>
          <w:color w:val="231F20"/>
          <w:spacing w:val="10"/>
        </w:rPr>
        <w:t>，那么</w:t>
      </w:r>
      <w:r>
        <w:rPr>
          <w:color w:val="231F20"/>
        </w:rPr>
        <w:t>GOOG</w:t>
      </w:r>
      <w:r>
        <w:rPr>
          <w:color w:val="231F20"/>
          <w:spacing w:val="10"/>
        </w:rPr>
        <w:t>的1美金等于</w:t>
      </w:r>
      <w:r>
        <w:rPr>
          <w:color w:val="231F20"/>
        </w:rPr>
        <w:t>AAPL</w:t>
      </w:r>
      <w:r>
        <w:rPr>
          <w:color w:val="231F20"/>
          <w:spacing w:val="10"/>
        </w:rPr>
        <w:t>的多少？</w:t>
      </w:r>
    </w:p>
    <w:p w14:paraId="1A05E8B9">
      <w:pPr>
        <w:pStyle w:val="2"/>
        <w:spacing w:line="223" w:lineRule="auto"/>
        <w:ind w:left="299" w:right="6827" w:hanging="34"/>
      </w:pPr>
      <w:r>
        <w:rPr>
          <w:color w:val="231F20"/>
          <w:spacing w:val="11"/>
        </w:rPr>
        <w:t>A.0.87美金</w:t>
      </w:r>
      <w:r>
        <w:rPr>
          <w:color w:val="231F20"/>
        </w:rPr>
        <w:t xml:space="preserve"> </w:t>
      </w:r>
      <w:r>
        <w:rPr>
          <w:color w:val="231F20"/>
          <w:spacing w:val="8"/>
        </w:rPr>
        <w:t>B.0.9美金</w:t>
      </w:r>
    </w:p>
    <w:p w14:paraId="65CDE6DE">
      <w:pPr>
        <w:pStyle w:val="2"/>
        <w:spacing w:before="2" w:line="225" w:lineRule="auto"/>
        <w:ind w:left="275" w:right="6697" w:firstLine="9"/>
      </w:pPr>
      <w:r>
        <w:rPr>
          <w:color w:val="231F20"/>
          <w:spacing w:val="7"/>
        </w:rPr>
        <w:t>C.1.</w:t>
      </w:r>
      <w:r>
        <w:rPr>
          <w:color w:val="231F20"/>
          <w:spacing w:val="-31"/>
        </w:rPr>
        <w:t xml:space="preserve"> </w:t>
      </w:r>
      <w:r>
        <w:rPr>
          <w:color w:val="231F20"/>
          <w:spacing w:val="7"/>
        </w:rPr>
        <w:t>11美金</w:t>
      </w:r>
      <w:r>
        <w:rPr>
          <w:color w:val="231F20"/>
        </w:rPr>
        <w:t xml:space="preserve">   </w:t>
      </w:r>
      <w:r>
        <w:rPr>
          <w:color w:val="231F20"/>
          <w:spacing w:val="6"/>
        </w:rPr>
        <w:t>D.1.</w:t>
      </w:r>
      <w:r>
        <w:rPr>
          <w:color w:val="231F20"/>
          <w:spacing w:val="-32"/>
        </w:rPr>
        <w:t xml:space="preserve"> </w:t>
      </w:r>
      <w:r>
        <w:rPr>
          <w:color w:val="231F20"/>
          <w:spacing w:val="6"/>
        </w:rPr>
        <w:t>15美金</w:t>
      </w:r>
      <w:r>
        <w:rPr>
          <w:color w:val="231F20"/>
        </w:rPr>
        <w:t xml:space="preserve">   </w:t>
      </w:r>
      <w:r>
        <w:rPr>
          <w:color w:val="231F20"/>
          <w:spacing w:val="7"/>
        </w:rPr>
        <w:t>正确答案：</w:t>
      </w:r>
      <w:r>
        <w:rPr>
          <w:color w:val="231F20"/>
          <w:spacing w:val="-39"/>
        </w:rPr>
        <w:t xml:space="preserve"> </w:t>
      </w:r>
      <w:r>
        <w:rPr>
          <w:color w:val="231F20"/>
          <w:spacing w:val="7"/>
        </w:rPr>
        <w:t>C</w:t>
      </w:r>
    </w:p>
    <w:p w14:paraId="3C1D55AC">
      <w:pPr>
        <w:pStyle w:val="2"/>
        <w:spacing w:before="20" w:line="190" w:lineRule="auto"/>
        <w:ind w:left="269"/>
      </w:pPr>
      <w:r>
        <w:rPr>
          <w:color w:val="231F20"/>
          <w:spacing w:val="5"/>
        </w:rPr>
        <w:t>知识点</w:t>
      </w:r>
      <w:r>
        <w:rPr>
          <w:color w:val="231F20"/>
          <w:spacing w:val="-21"/>
        </w:rPr>
        <w:t xml:space="preserve"> </w:t>
      </w:r>
      <w:r>
        <w:rPr>
          <w:color w:val="231F20"/>
          <w:spacing w:val="5"/>
        </w:rPr>
        <w:t>：市场风险管理</w:t>
      </w:r>
    </w:p>
    <w:p w14:paraId="43A878A6">
      <w:pPr>
        <w:pStyle w:val="2"/>
        <w:spacing w:before="15" w:line="233" w:lineRule="auto"/>
        <w:ind w:left="25"/>
      </w:pPr>
      <w:r>
        <w:rPr>
          <w:color w:val="231F20"/>
          <w:spacing w:val="3"/>
        </w:rPr>
        <w:t>10.市场上买卖价差产生的原因有：    Ⅰ</w:t>
      </w:r>
      <w:r>
        <w:rPr>
          <w:rFonts w:hint="eastAsia"/>
          <w:color w:val="231F20"/>
          <w:spacing w:val="3"/>
          <w:lang w:eastAsia="zh-CN"/>
        </w:rPr>
        <w:t>。</w:t>
      </w:r>
      <w:r>
        <w:rPr>
          <w:color w:val="231F20"/>
          <w:spacing w:val="3"/>
        </w:rPr>
        <w:t>市场波动率Ⅱ</w:t>
      </w:r>
      <w:r>
        <w:rPr>
          <w:rFonts w:hint="eastAsia"/>
          <w:color w:val="231F20"/>
          <w:spacing w:val="3"/>
          <w:lang w:eastAsia="zh-CN"/>
        </w:rPr>
        <w:t>。</w:t>
      </w:r>
      <w:r>
        <w:rPr>
          <w:color w:val="231F20"/>
          <w:spacing w:val="3"/>
        </w:rPr>
        <w:t>交易控制失效  Ⅲ</w:t>
      </w:r>
      <w:r>
        <w:rPr>
          <w:color w:val="231F20"/>
          <w:spacing w:val="-26"/>
        </w:rPr>
        <w:t xml:space="preserve"> </w:t>
      </w:r>
      <w:r>
        <w:rPr>
          <w:color w:val="231F20"/>
          <w:spacing w:val="3"/>
        </w:rPr>
        <w:t>.</w:t>
      </w:r>
      <w:r>
        <w:rPr>
          <w:color w:val="231F20"/>
          <w:spacing w:val="41"/>
          <w:w w:val="101"/>
        </w:rPr>
        <w:t xml:space="preserve"> </w:t>
      </w:r>
      <w:r>
        <w:rPr>
          <w:color w:val="231F20"/>
          <w:spacing w:val="3"/>
        </w:rPr>
        <w:t>市场深度Ⅳ</w:t>
      </w:r>
      <w:r>
        <w:rPr>
          <w:color w:val="231F20"/>
          <w:spacing w:val="-48"/>
        </w:rPr>
        <w:t xml:space="preserve"> </w:t>
      </w:r>
      <w:r>
        <w:rPr>
          <w:color w:val="231F20"/>
          <w:spacing w:val="3"/>
        </w:rPr>
        <w:t>.</w:t>
      </w:r>
      <w:r>
        <w:rPr>
          <w:color w:val="231F20"/>
          <w:spacing w:val="2"/>
        </w:rPr>
        <w:t>做市</w:t>
      </w:r>
    </w:p>
    <w:p w14:paraId="4026716C">
      <w:pPr>
        <w:pStyle w:val="2"/>
        <w:spacing w:before="19" w:line="199" w:lineRule="exact"/>
        <w:ind w:left="277"/>
      </w:pPr>
      <w:r>
        <w:pict>
          <v:shape id="_x0000_s1036" o:spid="_x0000_s1036" o:spt="202" type="#_x0000_t202" style="position:absolute;left:0pt;margin-left:12.15pt;margin-top:5.55pt;height:14.1pt;width:13.3pt;z-index:251679744;mso-width-relative:page;mso-height-relative:page;" filled="f" stroked="f" coordsize="21600,21600">
            <v:path/>
            <v:fill on="f" focussize="0,0"/>
            <v:stroke on="f"/>
            <v:imagedata o:title=""/>
            <o:lock v:ext="edit" aspectratio="f"/>
            <v:textbox inset="0mm,0mm,0mm,0mm">
              <w:txbxContent>
                <w:p w14:paraId="45765A90">
                  <w:pPr>
                    <w:tabs>
                      <w:tab w:val="left" w:pos="245"/>
                    </w:tabs>
                    <w:spacing w:before="19"/>
                    <w:ind w:left="20"/>
                    <w:rPr>
                      <w:rFonts w:ascii="Arial"/>
                      <w:sz w:val="21"/>
                    </w:rPr>
                  </w:pPr>
                  <w:r>
                    <w:rPr>
                      <w:rFonts w:ascii="Arial" w:hAnsi="Arial" w:eastAsia="Arial" w:cs="Arial"/>
                      <w:sz w:val="21"/>
                      <w:szCs w:val="21"/>
                      <w:u w:val="single" w:color="231F20"/>
                    </w:rPr>
                    <w:tab/>
                  </w:r>
                </w:p>
              </w:txbxContent>
            </v:textbox>
          </v:shape>
        </w:pict>
      </w:r>
      <w:r>
        <w:rPr>
          <w:color w:val="231F20"/>
          <w:spacing w:val="5"/>
          <w:position w:val="-1"/>
        </w:rPr>
        <w:t>商竞争</w:t>
      </w:r>
    </w:p>
    <w:p w14:paraId="3BD29CBB">
      <w:pPr>
        <w:tabs>
          <w:tab w:val="left" w:pos="2268"/>
        </w:tabs>
        <w:spacing w:before="1" w:line="234" w:lineRule="auto"/>
        <w:ind w:left="529"/>
        <w:rPr>
          <w:rFonts w:ascii="Arial"/>
          <w:sz w:val="21"/>
        </w:rPr>
      </w:pPr>
      <w:r>
        <w:rPr>
          <w:rFonts w:ascii="Arial" w:hAnsi="Arial" w:eastAsia="Arial" w:cs="Arial"/>
          <w:sz w:val="21"/>
          <w:szCs w:val="21"/>
          <w:u w:val="single" w:color="231F20"/>
        </w:rPr>
        <w:tab/>
      </w:r>
    </w:p>
    <w:p w14:paraId="412A6F0C">
      <w:pPr>
        <w:pStyle w:val="2"/>
        <w:spacing w:before="41" w:line="115" w:lineRule="exact"/>
        <w:ind w:left="2238"/>
      </w:pPr>
      <w:r>
        <w:rPr>
          <w:color w:val="231F20"/>
          <w:position w:val="2"/>
        </w:rPr>
        <w:t>.</w:t>
      </w:r>
    </w:p>
    <w:p w14:paraId="4B22AB6D">
      <w:pPr>
        <w:pStyle w:val="2"/>
        <w:spacing w:before="44" w:line="187" w:lineRule="auto"/>
        <w:ind w:left="265"/>
      </w:pPr>
      <w:r>
        <w:rPr>
          <w:color w:val="231F20"/>
          <w:spacing w:val="-13"/>
        </w:rPr>
        <w:t>A.</w:t>
      </w:r>
      <w:r>
        <w:rPr>
          <w:color w:val="231F20"/>
          <w:spacing w:val="3"/>
        </w:rPr>
        <w:t xml:space="preserve">  </w:t>
      </w:r>
      <w:r>
        <w:rPr>
          <w:color w:val="231F20"/>
          <w:spacing w:val="-13"/>
        </w:rPr>
        <w:t>Ⅰ</w:t>
      </w:r>
      <w:r>
        <w:rPr>
          <w:color w:val="231F20"/>
          <w:spacing w:val="-31"/>
        </w:rPr>
        <w:t xml:space="preserve"> </w:t>
      </w:r>
      <w:r>
        <w:rPr>
          <w:color w:val="231F20"/>
          <w:spacing w:val="-13"/>
        </w:rPr>
        <w:t>、 Ⅱ</w:t>
      </w:r>
      <w:r>
        <w:rPr>
          <w:color w:val="231F20"/>
          <w:spacing w:val="-32"/>
        </w:rPr>
        <w:t xml:space="preserve"> </w:t>
      </w:r>
      <w:r>
        <w:rPr>
          <w:color w:val="231F20"/>
          <w:spacing w:val="-13"/>
        </w:rPr>
        <w:t>、Ⅲ</w:t>
      </w:r>
    </w:p>
    <w:p w14:paraId="0FCF600B">
      <w:pPr>
        <w:pStyle w:val="2"/>
        <w:spacing w:before="2" w:line="219" w:lineRule="auto"/>
        <w:ind w:left="285" w:right="6606" w:firstLine="15"/>
      </w:pPr>
      <w:r>
        <w:rPr>
          <w:color w:val="231F20"/>
          <w:spacing w:val="-14"/>
        </w:rPr>
        <w:t>B.</w:t>
      </w:r>
      <w:r>
        <w:rPr>
          <w:color w:val="231F20"/>
          <w:spacing w:val="4"/>
        </w:rPr>
        <w:t xml:space="preserve">  </w:t>
      </w:r>
      <w:r>
        <w:rPr>
          <w:color w:val="231F20"/>
          <w:spacing w:val="-14"/>
        </w:rPr>
        <w:t>Ⅰ</w:t>
      </w:r>
      <w:r>
        <w:rPr>
          <w:color w:val="231F20"/>
          <w:spacing w:val="-28"/>
        </w:rPr>
        <w:t xml:space="preserve"> </w:t>
      </w:r>
      <w:r>
        <w:rPr>
          <w:color w:val="231F20"/>
          <w:spacing w:val="-14"/>
        </w:rPr>
        <w:t>、Ⅲ</w:t>
      </w:r>
      <w:r>
        <w:rPr>
          <w:color w:val="231F20"/>
          <w:spacing w:val="-30"/>
        </w:rPr>
        <w:t xml:space="preserve"> </w:t>
      </w:r>
      <w:r>
        <w:rPr>
          <w:color w:val="231F20"/>
          <w:spacing w:val="-14"/>
        </w:rPr>
        <w:t>、Ⅳ</w:t>
      </w:r>
      <w:r>
        <w:rPr>
          <w:color w:val="231F20"/>
        </w:rPr>
        <w:t xml:space="preserve"> </w:t>
      </w:r>
      <w:r>
        <w:rPr>
          <w:color w:val="231F20"/>
          <w:spacing w:val="-3"/>
        </w:rPr>
        <w:t>C.Ⅱ</w:t>
      </w:r>
      <w:r>
        <w:rPr>
          <w:color w:val="231F20"/>
          <w:spacing w:val="-14"/>
        </w:rPr>
        <w:t xml:space="preserve"> </w:t>
      </w:r>
      <w:r>
        <w:rPr>
          <w:color w:val="231F20"/>
          <w:spacing w:val="-3"/>
        </w:rPr>
        <w:t>、</w:t>
      </w:r>
      <w:r>
        <w:rPr>
          <w:color w:val="231F20"/>
          <w:spacing w:val="-37"/>
        </w:rPr>
        <w:t xml:space="preserve"> </w:t>
      </w:r>
      <w:r>
        <w:rPr>
          <w:color w:val="231F20"/>
          <w:spacing w:val="-3"/>
        </w:rPr>
        <w:t>Ⅲ</w:t>
      </w:r>
      <w:r>
        <w:rPr>
          <w:color w:val="231F20"/>
          <w:spacing w:val="-20"/>
        </w:rPr>
        <w:t xml:space="preserve"> </w:t>
      </w:r>
      <w:r>
        <w:rPr>
          <w:color w:val="231F20"/>
          <w:spacing w:val="-3"/>
        </w:rPr>
        <w:t>、Ⅳ</w:t>
      </w:r>
    </w:p>
    <w:p w14:paraId="4968C067">
      <w:pPr>
        <w:pStyle w:val="2"/>
        <w:spacing w:before="9" w:line="236" w:lineRule="auto"/>
        <w:ind w:left="303"/>
      </w:pPr>
      <w:r>
        <w:rPr>
          <w:color w:val="231F20"/>
          <w:spacing w:val="-15"/>
        </w:rPr>
        <w:t>D.  Ⅰ</w:t>
      </w:r>
      <w:r>
        <w:rPr>
          <w:color w:val="231F20"/>
          <w:spacing w:val="-33"/>
        </w:rPr>
        <w:t xml:space="preserve"> </w:t>
      </w:r>
      <w:r>
        <w:rPr>
          <w:color w:val="231F20"/>
          <w:spacing w:val="-15"/>
        </w:rPr>
        <w:t>、 Ⅱ</w:t>
      </w:r>
      <w:r>
        <w:rPr>
          <w:color w:val="231F20"/>
          <w:spacing w:val="-34"/>
        </w:rPr>
        <w:t xml:space="preserve"> </w:t>
      </w:r>
      <w:r>
        <w:rPr>
          <w:color w:val="231F20"/>
          <w:spacing w:val="-15"/>
        </w:rPr>
        <w:t>、Ⅳ</w:t>
      </w:r>
    </w:p>
    <w:p w14:paraId="3C8127DC">
      <w:pPr>
        <w:pStyle w:val="2"/>
        <w:spacing w:before="42" w:line="190" w:lineRule="auto"/>
        <w:ind w:left="275"/>
      </w:pPr>
      <w:r>
        <w:rPr>
          <w:color w:val="231F20"/>
          <w:spacing w:val="7"/>
        </w:rPr>
        <w:t>正确答案：</w:t>
      </w:r>
      <w:r>
        <w:rPr>
          <w:color w:val="231F20"/>
          <w:spacing w:val="-29"/>
        </w:rPr>
        <w:t xml:space="preserve"> </w:t>
      </w:r>
      <w:r>
        <w:rPr>
          <w:color w:val="231F20"/>
          <w:spacing w:val="7"/>
        </w:rPr>
        <w:t>B</w:t>
      </w:r>
    </w:p>
    <w:p w14:paraId="2A907728">
      <w:pPr>
        <w:pStyle w:val="2"/>
        <w:spacing w:before="47" w:line="190" w:lineRule="auto"/>
        <w:ind w:left="269"/>
      </w:pPr>
      <w:r>
        <w:rPr>
          <w:color w:val="231F20"/>
          <w:spacing w:val="5"/>
        </w:rPr>
        <w:t>知识点</w:t>
      </w:r>
      <w:r>
        <w:rPr>
          <w:color w:val="231F20"/>
          <w:spacing w:val="-21"/>
        </w:rPr>
        <w:t xml:space="preserve"> </w:t>
      </w:r>
      <w:r>
        <w:rPr>
          <w:color w:val="231F20"/>
          <w:spacing w:val="5"/>
        </w:rPr>
        <w:t>：市场风险管理</w:t>
      </w:r>
    </w:p>
    <w:p w14:paraId="2D80DA2F">
      <w:pPr>
        <w:pStyle w:val="2"/>
        <w:spacing w:before="17" w:line="226" w:lineRule="auto"/>
        <w:ind w:left="269" w:right="33" w:hanging="244"/>
      </w:pPr>
      <w:r>
        <w:rPr>
          <w:color w:val="231F20"/>
          <w:spacing w:val="8"/>
        </w:rPr>
        <w:t>11.在巴塞尔协议Ⅱ下</w:t>
      </w:r>
      <w:r>
        <w:rPr>
          <w:color w:val="231F20"/>
          <w:spacing w:val="-7"/>
        </w:rPr>
        <w:t xml:space="preserve"> </w:t>
      </w:r>
      <w:r>
        <w:rPr>
          <w:color w:val="231F20"/>
          <w:spacing w:val="8"/>
        </w:rPr>
        <w:t>，</w:t>
      </w:r>
      <w:r>
        <w:rPr>
          <w:color w:val="231F20"/>
          <w:spacing w:val="-38"/>
        </w:rPr>
        <w:t xml:space="preserve"> </w:t>
      </w:r>
      <w:r>
        <w:rPr>
          <w:color w:val="231F20"/>
          <w:spacing w:val="8"/>
        </w:rPr>
        <w:t>当使用基本指标法来计算操作风险资本时</w:t>
      </w:r>
      <w:r>
        <w:rPr>
          <w:color w:val="231F20"/>
          <w:spacing w:val="-25"/>
        </w:rPr>
        <w:t xml:space="preserve"> </w:t>
      </w:r>
      <w:r>
        <w:rPr>
          <w:color w:val="231F20"/>
          <w:spacing w:val="8"/>
        </w:rPr>
        <w:t>，银行需要将多少年的</w:t>
      </w:r>
      <w:r>
        <w:rPr>
          <w:color w:val="231F20"/>
        </w:rPr>
        <w:t xml:space="preserve"> </w:t>
      </w:r>
      <w:r>
        <w:rPr>
          <w:color w:val="231F20"/>
          <w:spacing w:val="-2"/>
          <w:u w:val="single" w:color="auto"/>
        </w:rPr>
        <w:t>总</w:t>
      </w:r>
      <w:r>
        <w:rPr>
          <w:color w:val="231F20"/>
          <w:spacing w:val="-2"/>
        </w:rPr>
        <w:t>收</w:t>
      </w:r>
      <w:r>
        <w:rPr>
          <w:color w:val="231F20"/>
          <w:spacing w:val="-2"/>
          <w:u w:val="single" w:color="auto"/>
        </w:rPr>
        <w:t>入乘以多少百分比</w:t>
      </w:r>
      <w:r>
        <w:rPr>
          <w:color w:val="231F20"/>
          <w:spacing w:val="-2"/>
        </w:rPr>
        <w:t>？</w:t>
      </w:r>
    </w:p>
    <w:p w14:paraId="787E2D55">
      <w:pPr>
        <w:pStyle w:val="2"/>
        <w:spacing w:before="205" w:line="114" w:lineRule="exact"/>
        <w:ind w:left="2243"/>
      </w:pPr>
      <w:r>
        <w:rPr>
          <w:color w:val="231F20"/>
          <w:position w:val="2"/>
        </w:rPr>
        <w:t>.</w:t>
      </w:r>
    </w:p>
    <w:p w14:paraId="18EC938F">
      <w:pPr>
        <w:pStyle w:val="2"/>
        <w:spacing w:before="1" w:line="216" w:lineRule="auto"/>
        <w:ind w:left="265"/>
      </w:pPr>
      <w:r>
        <w:rPr>
          <w:color w:val="231F20"/>
          <w:spacing w:val="10"/>
        </w:rPr>
        <w:t>A.一年总收入乘以5%</w:t>
      </w:r>
    </w:p>
    <w:p w14:paraId="44B28EEA">
      <w:pPr>
        <w:pStyle w:val="2"/>
        <w:spacing w:line="223" w:lineRule="auto"/>
        <w:ind w:left="300"/>
      </w:pPr>
      <w:r>
        <w:rPr>
          <w:color w:val="231F20"/>
          <w:spacing w:val="9"/>
        </w:rPr>
        <w:t>B.两年总收入乘以10%</w:t>
      </w:r>
    </w:p>
    <w:p w14:paraId="5E8DE80C">
      <w:pPr>
        <w:pStyle w:val="2"/>
        <w:spacing w:before="1" w:line="224" w:lineRule="auto"/>
        <w:ind w:left="285"/>
      </w:pPr>
      <w:r>
        <w:rPr>
          <w:color w:val="231F20"/>
          <w:spacing w:val="10"/>
        </w:rPr>
        <w:t>C.三年总收入乘以15%</w:t>
      </w:r>
    </w:p>
    <w:p w14:paraId="00561B60">
      <w:pPr>
        <w:pStyle w:val="2"/>
        <w:spacing w:before="2" w:line="233" w:lineRule="auto"/>
        <w:ind w:left="300"/>
      </w:pPr>
      <w:r>
        <w:rPr>
          <w:color w:val="231F20"/>
          <w:spacing w:val="6"/>
        </w:rPr>
        <w:t>D.</w:t>
      </w:r>
      <w:r>
        <w:rPr>
          <w:color w:val="231F20"/>
          <w:spacing w:val="-32"/>
        </w:rPr>
        <w:t xml:space="preserve"> </w:t>
      </w:r>
      <w:r>
        <w:rPr>
          <w:color w:val="231F20"/>
          <w:spacing w:val="6"/>
        </w:rPr>
        <w:t>四年总收入乘以20%</w:t>
      </w:r>
    </w:p>
    <w:p w14:paraId="64D306EC">
      <w:pPr>
        <w:pStyle w:val="2"/>
        <w:spacing w:before="22" w:line="190" w:lineRule="auto"/>
        <w:ind w:left="275"/>
      </w:pPr>
      <w:r>
        <w:rPr>
          <w:color w:val="231F20"/>
          <w:spacing w:val="4"/>
        </w:rPr>
        <w:t>正确答案</w:t>
      </w:r>
      <w:r>
        <w:rPr>
          <w:color w:val="231F20"/>
          <w:spacing w:val="-18"/>
        </w:rPr>
        <w:t xml:space="preserve"> </w:t>
      </w:r>
      <w:r>
        <w:rPr>
          <w:color w:val="231F20"/>
          <w:spacing w:val="4"/>
        </w:rPr>
        <w:t>：C</w:t>
      </w:r>
    </w:p>
    <w:p w14:paraId="3382142F">
      <w:pPr>
        <w:pStyle w:val="2"/>
        <w:spacing w:before="49" w:line="189" w:lineRule="auto"/>
        <w:ind w:left="269"/>
      </w:pPr>
      <w:r>
        <w:rPr>
          <w:color w:val="231F20"/>
          <w:spacing w:val="5"/>
        </w:rPr>
        <w:t>知识点</w:t>
      </w:r>
      <w:r>
        <w:rPr>
          <w:color w:val="231F20"/>
          <w:spacing w:val="-21"/>
        </w:rPr>
        <w:t xml:space="preserve"> </w:t>
      </w:r>
      <w:r>
        <w:rPr>
          <w:color w:val="231F20"/>
          <w:spacing w:val="5"/>
        </w:rPr>
        <w:t>：操作风险管理</w:t>
      </w:r>
    </w:p>
    <w:p w14:paraId="6FBDC29B">
      <w:pPr>
        <w:pStyle w:val="2"/>
        <w:spacing w:before="16" w:line="226" w:lineRule="auto"/>
        <w:ind w:left="288" w:right="57" w:hanging="263"/>
      </w:pPr>
      <w:r>
        <w:rPr>
          <w:color w:val="231F20"/>
          <w:spacing w:val="13"/>
        </w:rPr>
        <w:t>12.风险与控制自我评估（</w:t>
      </w:r>
      <w:r>
        <w:rPr>
          <w:color w:val="231F20"/>
          <w:spacing w:val="-13"/>
        </w:rPr>
        <w:t xml:space="preserve"> </w:t>
      </w:r>
      <w:r>
        <w:rPr>
          <w:color w:val="231F20"/>
        </w:rPr>
        <w:t>RCSA</w:t>
      </w:r>
      <w:r>
        <w:rPr>
          <w:color w:val="231F20"/>
          <w:spacing w:val="13"/>
        </w:rPr>
        <w:t>）</w:t>
      </w:r>
      <w:r>
        <w:rPr>
          <w:color w:val="231F20"/>
          <w:spacing w:val="-37"/>
        </w:rPr>
        <w:t xml:space="preserve"> </w:t>
      </w:r>
      <w:r>
        <w:rPr>
          <w:color w:val="231F20"/>
          <w:spacing w:val="13"/>
        </w:rPr>
        <w:t>需要对风险事件的</w:t>
      </w:r>
      <w:r>
        <w:rPr>
          <w:color w:val="231F20"/>
          <w:spacing w:val="12"/>
        </w:rPr>
        <w:t>概率或频率进行评分。如果G银行</w:t>
      </w:r>
      <w:r>
        <w:rPr>
          <w:color w:val="231F20"/>
        </w:rPr>
        <w:t xml:space="preserve"> </w:t>
      </w:r>
      <w:r>
        <w:rPr>
          <w:color w:val="231F20"/>
          <w:spacing w:val="8"/>
          <w:u w:val="single" w:color="auto"/>
        </w:rPr>
        <w:t>的</w:t>
      </w:r>
      <w:r>
        <w:rPr>
          <w:color w:val="231F20"/>
          <w:spacing w:val="8"/>
        </w:rPr>
        <w:t>某</w:t>
      </w:r>
      <w:r>
        <w:rPr>
          <w:color w:val="231F20"/>
          <w:spacing w:val="8"/>
          <w:u w:val="single" w:color="auto"/>
        </w:rPr>
        <w:t>风险事件可能在</w:t>
      </w:r>
      <w:r>
        <w:rPr>
          <w:color w:val="231F20"/>
          <w:spacing w:val="8"/>
        </w:rPr>
        <w:t>未来12个月内发生5次</w:t>
      </w:r>
      <w:r>
        <w:rPr>
          <w:color w:val="231F20"/>
          <w:spacing w:val="-28"/>
        </w:rPr>
        <w:t xml:space="preserve"> </w:t>
      </w:r>
      <w:r>
        <w:rPr>
          <w:color w:val="231F20"/>
          <w:spacing w:val="8"/>
        </w:rPr>
        <w:t>，那么该</w:t>
      </w:r>
      <w:r>
        <w:rPr>
          <w:color w:val="231F20"/>
          <w:spacing w:val="7"/>
        </w:rPr>
        <w:t>事件的概率评分为：</w:t>
      </w:r>
    </w:p>
    <w:p w14:paraId="486C0CD6">
      <w:pPr>
        <w:pStyle w:val="2"/>
        <w:spacing w:before="184" w:line="115" w:lineRule="exact"/>
        <w:ind w:left="2236"/>
      </w:pPr>
      <w:r>
        <w:rPr>
          <w:color w:val="231F20"/>
          <w:position w:val="2"/>
        </w:rPr>
        <w:t>.</w:t>
      </w:r>
    </w:p>
    <w:p w14:paraId="5E6936AA">
      <w:pPr>
        <w:pStyle w:val="2"/>
        <w:spacing w:before="4" w:line="359" w:lineRule="exact"/>
        <w:ind w:left="265"/>
      </w:pPr>
      <w:r>
        <w:rPr>
          <w:color w:val="231F20"/>
          <w:spacing w:val="8"/>
          <w:position w:val="3"/>
        </w:rPr>
        <w:t>A.5</w:t>
      </w:r>
    </w:p>
    <w:p w14:paraId="01FEE98E">
      <w:pPr>
        <w:pStyle w:val="2"/>
        <w:spacing w:before="6" w:line="222" w:lineRule="auto"/>
        <w:ind w:left="285" w:right="7242" w:firstLine="15"/>
      </w:pPr>
      <w:r>
        <w:rPr>
          <w:color w:val="231F20"/>
          <w:spacing w:val="5"/>
        </w:rPr>
        <w:t>B.0.5</w:t>
      </w:r>
      <w:r>
        <w:rPr>
          <w:color w:val="231F20"/>
          <w:spacing w:val="1"/>
        </w:rPr>
        <w:t xml:space="preserve">   </w:t>
      </w:r>
      <w:r>
        <w:rPr>
          <w:color w:val="231F20"/>
          <w:spacing w:val="10"/>
        </w:rPr>
        <w:t>C.0.05</w:t>
      </w:r>
      <w:r>
        <w:rPr>
          <w:color w:val="231F20"/>
        </w:rPr>
        <w:t xml:space="preserve"> </w:t>
      </w:r>
      <w:r>
        <w:rPr>
          <w:color w:val="231F20"/>
          <w:spacing w:val="4"/>
        </w:rPr>
        <w:t>D.1</w:t>
      </w:r>
    </w:p>
    <w:p w14:paraId="4AB0E69E">
      <w:pPr>
        <w:pStyle w:val="2"/>
        <w:spacing w:before="7" w:line="190" w:lineRule="auto"/>
        <w:ind w:left="275"/>
      </w:pPr>
      <w:r>
        <w:rPr>
          <w:color w:val="231F20"/>
          <w:spacing w:val="1"/>
        </w:rPr>
        <w:t>正确答案</w:t>
      </w:r>
      <w:r>
        <w:rPr>
          <w:color w:val="231F20"/>
          <w:spacing w:val="-19"/>
        </w:rPr>
        <w:t xml:space="preserve"> </w:t>
      </w:r>
      <w:r>
        <w:rPr>
          <w:color w:val="231F20"/>
          <w:spacing w:val="1"/>
        </w:rPr>
        <w:t>：A</w:t>
      </w:r>
    </w:p>
    <w:p w14:paraId="7F5B7DE7">
      <w:pPr>
        <w:pStyle w:val="2"/>
        <w:spacing w:before="49" w:line="189" w:lineRule="auto"/>
        <w:ind w:left="269"/>
      </w:pPr>
      <w:r>
        <w:rPr>
          <w:color w:val="231F20"/>
          <w:spacing w:val="5"/>
        </w:rPr>
        <w:t>知识点</w:t>
      </w:r>
      <w:r>
        <w:rPr>
          <w:color w:val="231F20"/>
          <w:spacing w:val="-21"/>
        </w:rPr>
        <w:t xml:space="preserve"> </w:t>
      </w:r>
      <w:r>
        <w:rPr>
          <w:color w:val="231F20"/>
          <w:spacing w:val="5"/>
        </w:rPr>
        <w:t>：操作风险管理</w:t>
      </w:r>
    </w:p>
    <w:p w14:paraId="31E1987E">
      <w:pPr>
        <w:spacing w:line="189" w:lineRule="auto"/>
        <w:sectPr>
          <w:footerReference r:id="rId22" w:type="default"/>
          <w:pgSz w:w="10660" w:h="15081"/>
          <w:pgMar w:top="1252" w:right="1335" w:bottom="325" w:left="1152" w:header="0" w:footer="0" w:gutter="0"/>
          <w:cols w:space="720" w:num="1"/>
        </w:sectPr>
      </w:pPr>
      <w:r>
        <w:rPr>
          <w:rFonts w:hint="eastAsia" w:ascii="微软雅黑" w:hAnsi="微软雅黑" w:eastAsia="微软雅黑" w:cs="微软雅黑"/>
          <w:sz w:val="71"/>
          <w:szCs w:val="71"/>
          <w:lang w:eastAsia="zh-CN"/>
        </w:rPr>
        <w:drawing>
          <wp:anchor distT="0" distB="0" distL="114300" distR="114300" simplePos="0" relativeHeight="251710464" behindDoc="0" locked="0" layoutInCell="1" allowOverlap="1">
            <wp:simplePos x="0" y="0"/>
            <wp:positionH relativeFrom="column">
              <wp:posOffset>-720725</wp:posOffset>
            </wp:positionH>
            <wp:positionV relativeFrom="paragraph">
              <wp:posOffset>881380</wp:posOffset>
            </wp:positionV>
            <wp:extent cx="6795770" cy="384810"/>
            <wp:effectExtent l="0" t="0" r="1270" b="11430"/>
            <wp:wrapNone/>
            <wp:docPr id="35" name="图片 35" descr="文字文稿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文字文稿1_01"/>
                    <pic:cNvPicPr>
                      <a:picLocks noChangeAspect="1"/>
                    </pic:cNvPicPr>
                  </pic:nvPicPr>
                  <pic:blipFill>
                    <a:blip r:embed="rId36">
                      <a:lum contrast="6000"/>
                    </a:blip>
                    <a:srcRect t="96008"/>
                    <a:stretch>
                      <a:fillRect/>
                    </a:stretch>
                  </pic:blipFill>
                  <pic:spPr>
                    <a:xfrm>
                      <a:off x="0" y="0"/>
                      <a:ext cx="6795770" cy="384810"/>
                    </a:xfrm>
                    <a:prstGeom prst="rect">
                      <a:avLst/>
                    </a:prstGeom>
                  </pic:spPr>
                </pic:pic>
              </a:graphicData>
            </a:graphic>
          </wp:anchor>
        </w:drawing>
      </w:r>
    </w:p>
    <w:p w14:paraId="0A371A38">
      <w:pPr>
        <w:pStyle w:val="2"/>
        <w:spacing w:before="53" w:line="226" w:lineRule="auto"/>
        <w:ind w:left="256" w:right="47" w:hanging="256"/>
      </w:pPr>
      <w:r>
        <w:rPr>
          <w:color w:val="231F20"/>
          <w:spacing w:val="11"/>
        </w:rPr>
        <w:t>13.G银行的一名交易员由于疏忽将空头股票交易作为多头在银行系统中进行了交易。</w:t>
      </w:r>
      <w:r>
        <w:rPr>
          <w:color w:val="231F20"/>
          <w:spacing w:val="-25"/>
        </w:rPr>
        <w:t xml:space="preserve"> </w:t>
      </w:r>
      <w:r>
        <w:rPr>
          <w:color w:val="231F20"/>
          <w:spacing w:val="11"/>
        </w:rPr>
        <w:t>因</w:t>
      </w:r>
      <w:r>
        <w:rPr>
          <w:color w:val="231F20"/>
        </w:rPr>
        <w:t xml:space="preserve"> </w:t>
      </w:r>
      <w:r>
        <w:rPr>
          <w:color w:val="231F20"/>
          <w:spacing w:val="15"/>
          <w:u w:val="single" w:color="auto"/>
        </w:rPr>
        <w:t>为</w:t>
      </w:r>
      <w:r>
        <w:rPr>
          <w:color w:val="231F20"/>
          <w:spacing w:val="15"/>
        </w:rPr>
        <w:t>大</w:t>
      </w:r>
      <w:r>
        <w:rPr>
          <w:color w:val="231F20"/>
          <w:spacing w:val="15"/>
          <w:u w:val="single" w:color="auto"/>
        </w:rPr>
        <w:t>流行病</w:t>
      </w:r>
      <w:r>
        <w:rPr>
          <w:color w:val="231F20"/>
          <w:spacing w:val="-21"/>
          <w:u w:val="single" w:color="auto"/>
        </w:rPr>
        <w:t xml:space="preserve"> </w:t>
      </w:r>
      <w:r>
        <w:rPr>
          <w:color w:val="231F20"/>
          <w:spacing w:val="15"/>
          <w:u w:val="single" w:color="auto"/>
        </w:rPr>
        <w:t>，银行风</w:t>
      </w:r>
      <w:r>
        <w:rPr>
          <w:color w:val="231F20"/>
          <w:spacing w:val="15"/>
        </w:rPr>
        <w:t>控人员居家办公且错过了核查。这属于</w:t>
      </w:r>
      <w:r>
        <w:rPr>
          <w:color w:val="231F20"/>
          <w:spacing w:val="14"/>
        </w:rPr>
        <w:t>什么类型的控制失灵？</w:t>
      </w:r>
    </w:p>
    <w:p w14:paraId="2C4F2CF9">
      <w:pPr>
        <w:pStyle w:val="2"/>
        <w:spacing w:before="183" w:line="116" w:lineRule="exact"/>
        <w:ind w:left="2210"/>
      </w:pPr>
      <w:r>
        <w:rPr>
          <w:color w:val="231F20"/>
          <w:position w:val="2"/>
        </w:rPr>
        <w:t>.</w:t>
      </w:r>
    </w:p>
    <w:p w14:paraId="1DC8FB81">
      <w:pPr>
        <w:pStyle w:val="2"/>
        <w:spacing w:before="45" w:line="189" w:lineRule="auto"/>
        <w:ind w:left="239"/>
      </w:pPr>
      <w:r>
        <w:rPr>
          <w:color w:val="231F20"/>
          <w:spacing w:val="10"/>
        </w:rPr>
        <w:t>A.连锁控制失灵</w:t>
      </w:r>
    </w:p>
    <w:p w14:paraId="2793FC4F">
      <w:pPr>
        <w:pStyle w:val="2"/>
        <w:spacing w:before="53" w:line="189" w:lineRule="auto"/>
        <w:ind w:left="274"/>
      </w:pPr>
      <w:r>
        <w:rPr>
          <w:color w:val="231F20"/>
          <w:spacing w:val="7"/>
        </w:rPr>
        <w:t>B.升级控制失灵</w:t>
      </w:r>
    </w:p>
    <w:p w14:paraId="031C64F9">
      <w:pPr>
        <w:pStyle w:val="2"/>
        <w:spacing w:before="46" w:line="189" w:lineRule="auto"/>
        <w:ind w:left="259"/>
      </w:pPr>
      <w:r>
        <w:rPr>
          <w:color w:val="231F20"/>
          <w:spacing w:val="9"/>
        </w:rPr>
        <w:t>C.验证控制失灵</w:t>
      </w:r>
    </w:p>
    <w:p w14:paraId="5295D819">
      <w:pPr>
        <w:pStyle w:val="2"/>
        <w:spacing w:before="61" w:line="190" w:lineRule="auto"/>
        <w:ind w:left="277"/>
      </w:pPr>
      <w:r>
        <w:rPr>
          <w:color w:val="231F20"/>
          <w:spacing w:val="6"/>
        </w:rPr>
        <w:t>D.信息安全控制失灵</w:t>
      </w:r>
    </w:p>
    <w:p w14:paraId="29D7B6A3">
      <w:pPr>
        <w:pStyle w:val="2"/>
        <w:spacing w:before="36" w:line="190" w:lineRule="auto"/>
        <w:ind w:left="250"/>
      </w:pPr>
      <w:r>
        <w:rPr>
          <w:color w:val="231F20"/>
          <w:spacing w:val="7"/>
        </w:rPr>
        <w:t>正确答案：</w:t>
      </w:r>
      <w:r>
        <w:rPr>
          <w:color w:val="231F20"/>
          <w:spacing w:val="-32"/>
        </w:rPr>
        <w:t xml:space="preserve"> </w:t>
      </w:r>
      <w:r>
        <w:rPr>
          <w:color w:val="231F20"/>
          <w:spacing w:val="7"/>
        </w:rPr>
        <w:t>B</w:t>
      </w:r>
    </w:p>
    <w:p w14:paraId="76DF1A53">
      <w:pPr>
        <w:pStyle w:val="2"/>
        <w:spacing w:before="34" w:line="189" w:lineRule="auto"/>
        <w:ind w:left="243"/>
      </w:pPr>
      <w:r>
        <w:rPr>
          <w:color w:val="231F20"/>
          <w:spacing w:val="5"/>
        </w:rPr>
        <w:t>知识点</w:t>
      </w:r>
      <w:r>
        <w:rPr>
          <w:color w:val="231F20"/>
          <w:spacing w:val="-21"/>
        </w:rPr>
        <w:t xml:space="preserve"> </w:t>
      </w:r>
      <w:r>
        <w:rPr>
          <w:color w:val="231F20"/>
          <w:spacing w:val="5"/>
        </w:rPr>
        <w:t>：操作风险管理</w:t>
      </w:r>
    </w:p>
    <w:p w14:paraId="541A7945">
      <w:pPr>
        <w:pStyle w:val="2"/>
        <w:spacing w:before="10" w:line="229" w:lineRule="auto"/>
      </w:pPr>
      <w:r>
        <w:rPr>
          <w:color w:val="231F20"/>
          <w:spacing w:val="4"/>
        </w:rPr>
        <w:t>14.风险与控制自我评估（</w:t>
      </w:r>
      <w:r>
        <w:rPr>
          <w:color w:val="231F20"/>
          <w:spacing w:val="-20"/>
        </w:rPr>
        <w:t xml:space="preserve"> </w:t>
      </w:r>
      <w:r>
        <w:rPr>
          <w:color w:val="231F20"/>
        </w:rPr>
        <w:t>RCSA</w:t>
      </w:r>
      <w:r>
        <w:rPr>
          <w:color w:val="231F20"/>
          <w:spacing w:val="4"/>
        </w:rPr>
        <w:t>）的优点有：  Ⅰ</w:t>
      </w:r>
      <w:r>
        <w:rPr>
          <w:rFonts w:hint="eastAsia"/>
          <w:color w:val="231F20"/>
          <w:spacing w:val="4"/>
          <w:lang w:eastAsia="zh-CN"/>
        </w:rPr>
        <w:t>。</w:t>
      </w:r>
      <w:r>
        <w:rPr>
          <w:color w:val="231F20"/>
          <w:spacing w:val="4"/>
        </w:rPr>
        <w:t>可以生成准确且透明的操作风</w:t>
      </w:r>
      <w:r>
        <w:rPr>
          <w:color w:val="231F20"/>
          <w:spacing w:val="3"/>
        </w:rPr>
        <w:t>险报告，</w:t>
      </w:r>
    </w:p>
    <w:p w14:paraId="65D8B31E">
      <w:pPr>
        <w:pStyle w:val="2"/>
        <w:spacing w:before="34" w:line="227" w:lineRule="auto"/>
        <w:ind w:left="241" w:right="40" w:firstLine="2"/>
      </w:pPr>
      <w:r>
        <w:rPr>
          <w:color w:val="231F20"/>
          <w:spacing w:val="7"/>
        </w:rPr>
        <w:t>并在整个行业内被有效使用Ⅱ</w:t>
      </w:r>
      <w:r>
        <w:rPr>
          <w:color w:val="231F20"/>
          <w:spacing w:val="-31"/>
        </w:rPr>
        <w:t xml:space="preserve"> </w:t>
      </w:r>
      <w:r>
        <w:rPr>
          <w:color w:val="231F20"/>
          <w:spacing w:val="7"/>
        </w:rPr>
        <w:t>.准确性高于第三方的客观观点和评分Ⅲ</w:t>
      </w:r>
      <w:r>
        <w:rPr>
          <w:color w:val="231F20"/>
          <w:spacing w:val="-33"/>
        </w:rPr>
        <w:t xml:space="preserve"> </w:t>
      </w:r>
      <w:r>
        <w:rPr>
          <w:color w:val="231F20"/>
          <w:spacing w:val="7"/>
        </w:rPr>
        <w:t>.授予部门</w:t>
      </w:r>
      <w:r>
        <w:rPr>
          <w:color w:val="231F20"/>
          <w:spacing w:val="6"/>
        </w:rPr>
        <w:t>评估的</w:t>
      </w:r>
      <w:r>
        <w:rPr>
          <w:color w:val="231F20"/>
        </w:rPr>
        <w:t xml:space="preserve">  </w:t>
      </w:r>
      <w:r>
        <w:rPr>
          <w:color w:val="231F20"/>
          <w:spacing w:val="9"/>
        </w:rPr>
        <w:t>权利可以让这些部门把风险缓释措施放在优先地位Ⅳ</w:t>
      </w:r>
      <w:r>
        <w:rPr>
          <w:color w:val="231F20"/>
          <w:spacing w:val="-12"/>
        </w:rPr>
        <w:t xml:space="preserve"> </w:t>
      </w:r>
      <w:r>
        <w:rPr>
          <w:color w:val="231F20"/>
          <w:spacing w:val="9"/>
        </w:rPr>
        <w:t>.融入操作风险管理文化</w:t>
      </w:r>
      <w:r>
        <w:rPr>
          <w:color w:val="231F20"/>
          <w:spacing w:val="-26"/>
        </w:rPr>
        <w:t xml:space="preserve"> </w:t>
      </w:r>
      <w:r>
        <w:rPr>
          <w:color w:val="231F20"/>
          <w:spacing w:val="9"/>
        </w:rPr>
        <w:t>，大大</w:t>
      </w:r>
      <w:r>
        <w:rPr>
          <w:rFonts w:hint="eastAsia"/>
          <w:color w:val="231F20"/>
          <w:spacing w:val="9"/>
          <w:lang w:eastAsia="zh-CN"/>
        </w:rPr>
        <w:t>提升</w:t>
      </w:r>
    </w:p>
    <w:p w14:paraId="282704F2">
      <w:pPr>
        <w:pStyle w:val="2"/>
        <w:spacing w:line="201" w:lineRule="exact"/>
        <w:ind w:left="244"/>
      </w:pPr>
      <w:r>
        <w:pict>
          <v:shape id="_x0000_s1037" o:spid="_x0000_s1037" o:spt="202" type="#_x0000_t202" style="position:absolute;left:0pt;margin-left:10.85pt;margin-top:4.8pt;height:14.1pt;width:13.3pt;z-index:251681792;mso-width-relative:page;mso-height-relative:page;" filled="f" stroked="f" coordsize="21600,21600">
            <v:path/>
            <v:fill on="f" focussize="0,0"/>
            <v:stroke on="f"/>
            <v:imagedata o:title=""/>
            <o:lock v:ext="edit" aspectratio="f"/>
            <v:textbox inset="0mm,0mm,0mm,0mm">
              <w:txbxContent>
                <w:p w14:paraId="6223EF1F">
                  <w:pPr>
                    <w:tabs>
                      <w:tab w:val="left" w:pos="245"/>
                    </w:tabs>
                    <w:spacing w:before="19"/>
                    <w:ind w:left="20"/>
                    <w:rPr>
                      <w:rFonts w:ascii="Arial"/>
                      <w:sz w:val="21"/>
                    </w:rPr>
                  </w:pPr>
                  <w:r>
                    <w:rPr>
                      <w:rFonts w:ascii="Arial" w:hAnsi="Arial" w:eastAsia="Arial" w:cs="Arial"/>
                      <w:sz w:val="21"/>
                      <w:szCs w:val="21"/>
                      <w:u w:val="single" w:color="231F20"/>
                    </w:rPr>
                    <w:tab/>
                  </w:r>
                </w:p>
              </w:txbxContent>
            </v:textbox>
          </v:shape>
        </w:pict>
      </w:r>
      <w:r>
        <w:rPr>
          <w:color w:val="231F20"/>
          <w:spacing w:val="8"/>
          <w:position w:val="-1"/>
        </w:rPr>
        <w:t>升部门风险控制的有效性</w:t>
      </w:r>
    </w:p>
    <w:p w14:paraId="4600BAEE">
      <w:pPr>
        <w:tabs>
          <w:tab w:val="left" w:pos="2243"/>
        </w:tabs>
        <w:spacing w:line="234" w:lineRule="auto"/>
        <w:ind w:left="503"/>
        <w:rPr>
          <w:rFonts w:ascii="Arial"/>
          <w:sz w:val="21"/>
        </w:rPr>
      </w:pPr>
      <w:r>
        <w:rPr>
          <w:rFonts w:ascii="Arial" w:hAnsi="Arial" w:eastAsia="Arial" w:cs="Arial"/>
          <w:sz w:val="21"/>
          <w:szCs w:val="21"/>
          <w:u w:val="single" w:color="231F20"/>
        </w:rPr>
        <w:tab/>
      </w:r>
    </w:p>
    <w:p w14:paraId="2508718C">
      <w:pPr>
        <w:pStyle w:val="2"/>
        <w:spacing w:before="44" w:line="105" w:lineRule="exact"/>
        <w:ind w:left="2210"/>
      </w:pPr>
      <w:r>
        <w:rPr>
          <w:color w:val="231F20"/>
          <w:position w:val="2"/>
        </w:rPr>
        <w:t>.</w:t>
      </w:r>
    </w:p>
    <w:p w14:paraId="55EC0576">
      <w:pPr>
        <w:pStyle w:val="2"/>
        <w:spacing w:line="223" w:lineRule="auto"/>
        <w:ind w:left="239"/>
      </w:pPr>
      <w:r>
        <w:rPr>
          <w:color w:val="231F20"/>
          <w:spacing w:val="-13"/>
        </w:rPr>
        <w:t>A.</w:t>
      </w:r>
      <w:r>
        <w:rPr>
          <w:color w:val="231F20"/>
          <w:spacing w:val="3"/>
        </w:rPr>
        <w:t xml:space="preserve">  </w:t>
      </w:r>
      <w:r>
        <w:rPr>
          <w:color w:val="231F20"/>
          <w:spacing w:val="-13"/>
        </w:rPr>
        <w:t>Ⅰ</w:t>
      </w:r>
      <w:r>
        <w:rPr>
          <w:color w:val="231F20"/>
          <w:spacing w:val="-29"/>
        </w:rPr>
        <w:t xml:space="preserve"> </w:t>
      </w:r>
      <w:r>
        <w:rPr>
          <w:color w:val="231F20"/>
          <w:spacing w:val="-13"/>
        </w:rPr>
        <w:t>、 Ⅱ</w:t>
      </w:r>
    </w:p>
    <w:p w14:paraId="07454027">
      <w:pPr>
        <w:pStyle w:val="2"/>
        <w:spacing w:before="1" w:line="235" w:lineRule="auto"/>
        <w:ind w:left="274"/>
      </w:pPr>
      <w:r>
        <w:rPr>
          <w:color w:val="231F20"/>
          <w:spacing w:val="-14"/>
        </w:rPr>
        <w:t>B.</w:t>
      </w:r>
      <w:r>
        <w:rPr>
          <w:color w:val="231F20"/>
          <w:spacing w:val="1"/>
        </w:rPr>
        <w:t xml:space="preserve">  </w:t>
      </w:r>
      <w:r>
        <w:rPr>
          <w:color w:val="231F20"/>
          <w:spacing w:val="-14"/>
        </w:rPr>
        <w:t>Ⅰ</w:t>
      </w:r>
      <w:r>
        <w:rPr>
          <w:color w:val="231F20"/>
          <w:spacing w:val="-24"/>
        </w:rPr>
        <w:t xml:space="preserve"> </w:t>
      </w:r>
      <w:r>
        <w:rPr>
          <w:color w:val="231F20"/>
          <w:spacing w:val="-14"/>
        </w:rPr>
        <w:t>、Ⅲ</w:t>
      </w:r>
    </w:p>
    <w:p w14:paraId="6BEA2219">
      <w:pPr>
        <w:pStyle w:val="2"/>
        <w:spacing w:before="36" w:line="202" w:lineRule="auto"/>
        <w:ind w:left="274" w:right="7036" w:hanging="15"/>
      </w:pPr>
      <w:r>
        <w:rPr>
          <w:color w:val="231F20"/>
          <w:spacing w:val="-4"/>
        </w:rPr>
        <w:t>C.</w:t>
      </w:r>
      <w:r>
        <w:rPr>
          <w:color w:val="231F20"/>
          <w:spacing w:val="12"/>
        </w:rPr>
        <w:t xml:space="preserve"> </w:t>
      </w:r>
      <w:r>
        <w:rPr>
          <w:color w:val="231F20"/>
          <w:spacing w:val="-4"/>
        </w:rPr>
        <w:t>Ⅱ、Ⅳ</w:t>
      </w:r>
      <w:r>
        <w:rPr>
          <w:color w:val="231F20"/>
        </w:rPr>
        <w:t xml:space="preserve"> </w:t>
      </w:r>
      <w:r>
        <w:rPr>
          <w:color w:val="231F20"/>
          <w:spacing w:val="-1"/>
        </w:rPr>
        <w:t>D.Ⅲ</w:t>
      </w:r>
      <w:r>
        <w:rPr>
          <w:color w:val="231F20"/>
          <w:spacing w:val="-12"/>
        </w:rPr>
        <w:t xml:space="preserve"> </w:t>
      </w:r>
      <w:r>
        <w:rPr>
          <w:color w:val="231F20"/>
          <w:spacing w:val="-1"/>
        </w:rPr>
        <w:t>、Ⅳ</w:t>
      </w:r>
    </w:p>
    <w:p w14:paraId="43004156">
      <w:pPr>
        <w:pStyle w:val="2"/>
        <w:spacing w:before="69" w:line="190" w:lineRule="auto"/>
        <w:ind w:left="250"/>
      </w:pPr>
      <w:r>
        <w:rPr>
          <w:color w:val="231F20"/>
          <w:spacing w:val="5"/>
        </w:rPr>
        <w:t>正确答案：</w:t>
      </w:r>
      <w:r>
        <w:rPr>
          <w:color w:val="231F20"/>
          <w:spacing w:val="-29"/>
        </w:rPr>
        <w:t xml:space="preserve"> </w:t>
      </w:r>
      <w:r>
        <w:rPr>
          <w:color w:val="231F20"/>
          <w:spacing w:val="5"/>
        </w:rPr>
        <w:t>D</w:t>
      </w:r>
    </w:p>
    <w:p w14:paraId="716EBE8A">
      <w:pPr>
        <w:pStyle w:val="2"/>
        <w:spacing w:before="51" w:line="189" w:lineRule="auto"/>
        <w:ind w:left="243"/>
      </w:pPr>
      <w:r>
        <w:rPr>
          <w:color w:val="231F20"/>
          <w:spacing w:val="5"/>
        </w:rPr>
        <w:t>知识点</w:t>
      </w:r>
      <w:r>
        <w:rPr>
          <w:color w:val="231F20"/>
          <w:spacing w:val="-21"/>
        </w:rPr>
        <w:t xml:space="preserve"> </w:t>
      </w:r>
      <w:r>
        <w:rPr>
          <w:color w:val="231F20"/>
          <w:spacing w:val="5"/>
        </w:rPr>
        <w:t>：操作风险管理</w:t>
      </w:r>
    </w:p>
    <w:p w14:paraId="21423DF6">
      <w:pPr>
        <w:pStyle w:val="2"/>
        <w:spacing w:before="15" w:line="218" w:lineRule="auto"/>
      </w:pPr>
      <w:r>
        <w:rPr>
          <w:color w:val="231F20"/>
          <w:spacing w:val="10"/>
        </w:rPr>
        <w:t>15.G银行为其</w:t>
      </w:r>
      <w:r>
        <w:rPr>
          <w:color w:val="231F20"/>
        </w:rPr>
        <w:t>IT</w:t>
      </w:r>
      <w:r>
        <w:rPr>
          <w:color w:val="231F20"/>
          <w:spacing w:val="10"/>
        </w:rPr>
        <w:t>处理系统设置了关键风险指标（</w:t>
      </w:r>
      <w:r>
        <w:rPr>
          <w:color w:val="231F20"/>
          <w:spacing w:val="-18"/>
        </w:rPr>
        <w:t xml:space="preserve"> </w:t>
      </w:r>
      <w:r>
        <w:rPr>
          <w:color w:val="231F20"/>
        </w:rPr>
        <w:t>KRIs</w:t>
      </w:r>
      <w:r>
        <w:rPr>
          <w:color w:val="231F20"/>
          <w:spacing w:val="10"/>
        </w:rPr>
        <w:t>）</w:t>
      </w:r>
      <w:r>
        <w:rPr>
          <w:color w:val="231F20"/>
          <w:spacing w:val="-36"/>
        </w:rPr>
        <w:t xml:space="preserve"> </w:t>
      </w:r>
      <w:r>
        <w:rPr>
          <w:color w:val="231F20"/>
          <w:spacing w:val="10"/>
        </w:rPr>
        <w:t>的阈</w:t>
      </w:r>
      <w:r>
        <w:rPr>
          <w:color w:val="231F20"/>
          <w:spacing w:val="9"/>
        </w:rPr>
        <w:t>值</w:t>
      </w:r>
      <w:r>
        <w:rPr>
          <w:color w:val="231F20"/>
          <w:spacing w:val="-24"/>
        </w:rPr>
        <w:t xml:space="preserve"> </w:t>
      </w:r>
      <w:r>
        <w:rPr>
          <w:color w:val="231F20"/>
          <w:spacing w:val="9"/>
        </w:rPr>
        <w:t>，为12个月滚动平均值的</w:t>
      </w:r>
    </w:p>
    <w:p w14:paraId="3AA20D52">
      <w:pPr>
        <w:pStyle w:val="2"/>
        <w:spacing w:before="1" w:line="233" w:lineRule="auto"/>
        <w:ind w:left="257"/>
      </w:pPr>
      <w:r>
        <w:rPr>
          <w:color w:val="231F20"/>
          <w:spacing w:val="6"/>
          <w:u w:val="single" w:color="auto"/>
        </w:rPr>
        <w:t>98.9%</w:t>
      </w:r>
      <w:r>
        <w:rPr>
          <w:rFonts w:hint="eastAsia"/>
          <w:color w:val="231F20"/>
          <w:spacing w:val="6"/>
          <w:u w:val="single" w:color="auto"/>
          <w:lang w:eastAsia="zh-CN"/>
        </w:rPr>
        <w:t>.</w:t>
      </w:r>
      <w:r>
        <w:rPr>
          <w:color w:val="231F20"/>
          <w:spacing w:val="6"/>
          <w:u w:val="single" w:color="auto"/>
        </w:rPr>
        <w:t>则G银行使用</w:t>
      </w:r>
      <w:r>
        <w:rPr>
          <w:color w:val="231F20"/>
          <w:spacing w:val="6"/>
        </w:rPr>
        <w:t>的是以下哪一种关键风险指标阈值类型？</w:t>
      </w:r>
    </w:p>
    <w:p w14:paraId="0646B8CA">
      <w:pPr>
        <w:pStyle w:val="2"/>
        <w:spacing w:before="183" w:line="116" w:lineRule="exact"/>
        <w:ind w:left="2210"/>
      </w:pPr>
      <w:r>
        <w:rPr>
          <w:color w:val="231F20"/>
          <w:position w:val="2"/>
        </w:rPr>
        <w:t>.</w:t>
      </w:r>
    </w:p>
    <w:p w14:paraId="3DF83CA3">
      <w:pPr>
        <w:pStyle w:val="2"/>
        <w:spacing w:before="60" w:line="188" w:lineRule="auto"/>
        <w:ind w:left="239"/>
      </w:pPr>
      <w:r>
        <w:rPr>
          <w:color w:val="231F20"/>
          <w:spacing w:val="10"/>
        </w:rPr>
        <w:t>A.平均阈值</w:t>
      </w:r>
    </w:p>
    <w:p w14:paraId="5006B66A">
      <w:pPr>
        <w:pStyle w:val="2"/>
        <w:spacing w:before="40" w:line="189" w:lineRule="auto"/>
        <w:ind w:left="274"/>
      </w:pPr>
      <w:r>
        <w:rPr>
          <w:color w:val="231F20"/>
          <w:spacing w:val="6"/>
        </w:rPr>
        <w:t>B.动态阈值</w:t>
      </w:r>
    </w:p>
    <w:p w14:paraId="61CD87C5">
      <w:pPr>
        <w:pStyle w:val="2"/>
        <w:spacing w:before="49" w:line="189" w:lineRule="auto"/>
        <w:ind w:left="259"/>
      </w:pPr>
      <w:r>
        <w:rPr>
          <w:color w:val="231F20"/>
          <w:spacing w:val="9"/>
        </w:rPr>
        <w:t>C.数学阈值</w:t>
      </w:r>
    </w:p>
    <w:p w14:paraId="00DE9751">
      <w:pPr>
        <w:pStyle w:val="2"/>
        <w:spacing w:before="51" w:line="189" w:lineRule="auto"/>
        <w:ind w:left="274"/>
      </w:pPr>
      <w:r>
        <w:rPr>
          <w:color w:val="231F20"/>
          <w:spacing w:val="4"/>
        </w:rPr>
        <w:t>D.静态阈值</w:t>
      </w:r>
    </w:p>
    <w:p w14:paraId="5FF0A157">
      <w:pPr>
        <w:pStyle w:val="2"/>
        <w:spacing w:before="48" w:line="190" w:lineRule="auto"/>
        <w:ind w:left="250"/>
      </w:pPr>
      <w:r>
        <w:rPr>
          <w:color w:val="231F20"/>
          <w:spacing w:val="7"/>
        </w:rPr>
        <w:t>正确答案：</w:t>
      </w:r>
      <w:r>
        <w:rPr>
          <w:color w:val="231F20"/>
          <w:spacing w:val="-32"/>
        </w:rPr>
        <w:t xml:space="preserve"> </w:t>
      </w:r>
      <w:r>
        <w:rPr>
          <w:color w:val="231F20"/>
          <w:spacing w:val="7"/>
        </w:rPr>
        <w:t>B</w:t>
      </w:r>
    </w:p>
    <w:p w14:paraId="515506DB">
      <w:pPr>
        <w:pStyle w:val="2"/>
        <w:spacing w:before="49" w:line="189" w:lineRule="auto"/>
        <w:ind w:left="243"/>
      </w:pPr>
      <w:r>
        <w:rPr>
          <w:color w:val="231F20"/>
          <w:spacing w:val="5"/>
        </w:rPr>
        <w:t>知识点</w:t>
      </w:r>
      <w:r>
        <w:rPr>
          <w:color w:val="231F20"/>
          <w:spacing w:val="-21"/>
        </w:rPr>
        <w:t xml:space="preserve"> </w:t>
      </w:r>
      <w:r>
        <w:rPr>
          <w:color w:val="231F20"/>
          <w:spacing w:val="5"/>
        </w:rPr>
        <w:t>：操作风险管理</w:t>
      </w:r>
    </w:p>
    <w:p w14:paraId="3B6BF204">
      <w:pPr>
        <w:pStyle w:val="2"/>
        <w:spacing w:before="15" w:line="226" w:lineRule="auto"/>
        <w:ind w:left="241" w:right="42" w:hanging="241"/>
      </w:pPr>
      <w:r>
        <w:rPr>
          <w:color w:val="231F20"/>
          <w:spacing w:val="8"/>
        </w:rPr>
        <w:t>16.如果本地的监管机构使用巴塞尔协议 Ⅰ</w:t>
      </w:r>
      <w:r>
        <w:rPr>
          <w:color w:val="231F20"/>
          <w:spacing w:val="-43"/>
        </w:rPr>
        <w:t xml:space="preserve"> </w:t>
      </w:r>
      <w:r>
        <w:rPr>
          <w:color w:val="231F20"/>
          <w:spacing w:val="8"/>
        </w:rPr>
        <w:t>的框架</w:t>
      </w:r>
      <w:r>
        <w:rPr>
          <w:color w:val="231F20"/>
          <w:spacing w:val="-26"/>
        </w:rPr>
        <w:t xml:space="preserve"> </w:t>
      </w:r>
      <w:r>
        <w:rPr>
          <w:color w:val="231F20"/>
          <w:spacing w:val="8"/>
        </w:rPr>
        <w:t>，即所有公司债务</w:t>
      </w:r>
      <w:r>
        <w:rPr>
          <w:color w:val="231F20"/>
          <w:spacing w:val="7"/>
        </w:rPr>
        <w:t>都被赋予相同的风险</w:t>
      </w:r>
      <w:r>
        <w:rPr>
          <w:color w:val="231F20"/>
        </w:rPr>
        <w:t xml:space="preserve"> </w:t>
      </w:r>
      <w:r>
        <w:rPr>
          <w:color w:val="231F20"/>
          <w:spacing w:val="2"/>
          <w:u w:val="single" w:color="auto"/>
        </w:rPr>
        <w:t>权</w:t>
      </w:r>
      <w:r>
        <w:rPr>
          <w:color w:val="231F20"/>
          <w:spacing w:val="2"/>
        </w:rPr>
        <w:t>重</w:t>
      </w:r>
      <w:r>
        <w:rPr>
          <w:color w:val="231F20"/>
          <w:spacing w:val="-22"/>
          <w:u w:val="single" w:color="auto"/>
        </w:rPr>
        <w:t xml:space="preserve"> </w:t>
      </w:r>
      <w:r>
        <w:rPr>
          <w:color w:val="231F20"/>
          <w:spacing w:val="2"/>
          <w:u w:val="single" w:color="auto"/>
        </w:rPr>
        <w:t>，下列哪一项会</w:t>
      </w:r>
      <w:r>
        <w:rPr>
          <w:color w:val="231F20"/>
          <w:spacing w:val="2"/>
        </w:rPr>
        <w:t>是监管资本套利的例子？</w:t>
      </w:r>
    </w:p>
    <w:p w14:paraId="30D6FA75">
      <w:pPr>
        <w:pStyle w:val="2"/>
        <w:spacing w:before="184" w:line="116" w:lineRule="exact"/>
        <w:ind w:left="2210"/>
      </w:pPr>
      <w:r>
        <w:rPr>
          <w:color w:val="231F20"/>
          <w:position w:val="2"/>
        </w:rPr>
        <w:t>.</w:t>
      </w:r>
    </w:p>
    <w:p w14:paraId="720C7B78">
      <w:pPr>
        <w:pStyle w:val="2"/>
        <w:spacing w:before="58" w:line="190" w:lineRule="auto"/>
        <w:ind w:left="239"/>
      </w:pPr>
      <w:r>
        <w:rPr>
          <w:color w:val="231F20"/>
          <w:spacing w:val="9"/>
        </w:rPr>
        <w:t>A.银行增加了其公司债务的敞口</w:t>
      </w:r>
    </w:p>
    <w:p w14:paraId="40266649">
      <w:pPr>
        <w:pStyle w:val="2"/>
        <w:spacing w:before="36" w:line="190" w:lineRule="auto"/>
        <w:ind w:left="274"/>
      </w:pPr>
      <w:r>
        <w:rPr>
          <w:color w:val="231F20"/>
          <w:spacing w:val="8"/>
        </w:rPr>
        <w:t>B.银行减少了其公司债务的敞口</w:t>
      </w:r>
    </w:p>
    <w:p w14:paraId="66522A0C">
      <w:pPr>
        <w:pStyle w:val="2"/>
        <w:spacing w:before="62" w:line="190" w:lineRule="auto"/>
        <w:ind w:left="257"/>
      </w:pPr>
      <w:r>
        <w:rPr>
          <w:color w:val="231F20"/>
          <w:spacing w:val="9"/>
        </w:rPr>
        <w:t>C.银行将其敞口转向更高风险的公司债务</w:t>
      </w:r>
    </w:p>
    <w:p w14:paraId="28ADCEA5">
      <w:pPr>
        <w:pStyle w:val="2"/>
        <w:spacing w:before="35" w:line="190" w:lineRule="auto"/>
        <w:ind w:left="274"/>
      </w:pPr>
      <w:r>
        <w:rPr>
          <w:color w:val="231F20"/>
          <w:spacing w:val="8"/>
        </w:rPr>
        <w:t>D.银行将其敞口转向更低风险的公司债务</w:t>
      </w:r>
    </w:p>
    <w:p w14:paraId="319D6A0F">
      <w:pPr>
        <w:pStyle w:val="2"/>
        <w:spacing w:before="48" w:line="190" w:lineRule="auto"/>
        <w:ind w:left="250"/>
      </w:pPr>
      <w:r>
        <w:rPr>
          <w:color w:val="231F20"/>
          <w:spacing w:val="4"/>
        </w:rPr>
        <w:t>正确答案</w:t>
      </w:r>
      <w:r>
        <w:rPr>
          <w:color w:val="231F20"/>
          <w:spacing w:val="-18"/>
        </w:rPr>
        <w:t xml:space="preserve"> </w:t>
      </w:r>
      <w:r>
        <w:rPr>
          <w:color w:val="231F20"/>
          <w:spacing w:val="4"/>
        </w:rPr>
        <w:t>：C</w:t>
      </w:r>
    </w:p>
    <w:p w14:paraId="74CAA924">
      <w:pPr>
        <w:pStyle w:val="2"/>
        <w:spacing w:before="50" w:line="190" w:lineRule="auto"/>
        <w:ind w:left="243"/>
      </w:pPr>
      <w:r>
        <w:rPr>
          <w:color w:val="231F20"/>
          <w:spacing w:val="5"/>
        </w:rPr>
        <w:t>知识点</w:t>
      </w:r>
      <w:r>
        <w:rPr>
          <w:color w:val="231F20"/>
          <w:spacing w:val="-21"/>
        </w:rPr>
        <w:t xml:space="preserve"> </w:t>
      </w:r>
      <w:r>
        <w:rPr>
          <w:color w:val="231F20"/>
          <w:spacing w:val="5"/>
        </w:rPr>
        <w:t>：资产负债管理</w:t>
      </w:r>
    </w:p>
    <w:p w14:paraId="657475DB">
      <w:pPr>
        <w:spacing w:line="190" w:lineRule="auto"/>
        <w:sectPr>
          <w:footerReference r:id="rId23" w:type="default"/>
          <w:pgSz w:w="10660" w:h="15081"/>
          <w:pgMar w:top="1252" w:right="1155" w:bottom="325" w:left="1348" w:header="0" w:footer="0" w:gutter="0"/>
          <w:cols w:space="720" w:num="1"/>
        </w:sectPr>
      </w:pPr>
      <w:r>
        <w:rPr>
          <w:rFonts w:hint="eastAsia" w:ascii="微软雅黑" w:hAnsi="微软雅黑" w:eastAsia="微软雅黑" w:cs="微软雅黑"/>
          <w:sz w:val="71"/>
          <w:szCs w:val="71"/>
          <w:lang w:eastAsia="zh-CN"/>
        </w:rPr>
        <w:drawing>
          <wp:anchor distT="0" distB="0" distL="114300" distR="114300" simplePos="0" relativeHeight="251711488" behindDoc="0" locked="0" layoutInCell="1" allowOverlap="1">
            <wp:simplePos x="0" y="0"/>
            <wp:positionH relativeFrom="column">
              <wp:posOffset>-845185</wp:posOffset>
            </wp:positionH>
            <wp:positionV relativeFrom="paragraph">
              <wp:posOffset>479425</wp:posOffset>
            </wp:positionV>
            <wp:extent cx="6795770" cy="384810"/>
            <wp:effectExtent l="0" t="0" r="1270" b="11430"/>
            <wp:wrapNone/>
            <wp:docPr id="37" name="图片 37" descr="文字文稿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文字文稿1_01"/>
                    <pic:cNvPicPr>
                      <a:picLocks noChangeAspect="1"/>
                    </pic:cNvPicPr>
                  </pic:nvPicPr>
                  <pic:blipFill>
                    <a:blip r:embed="rId36">
                      <a:lum contrast="6000"/>
                    </a:blip>
                    <a:srcRect t="96008"/>
                    <a:stretch>
                      <a:fillRect/>
                    </a:stretch>
                  </pic:blipFill>
                  <pic:spPr>
                    <a:xfrm>
                      <a:off x="0" y="0"/>
                      <a:ext cx="6795770" cy="384810"/>
                    </a:xfrm>
                    <a:prstGeom prst="rect">
                      <a:avLst/>
                    </a:prstGeom>
                  </pic:spPr>
                </pic:pic>
              </a:graphicData>
            </a:graphic>
          </wp:anchor>
        </w:drawing>
      </w:r>
    </w:p>
    <w:p w14:paraId="5E078140">
      <w:pPr>
        <w:pStyle w:val="2"/>
        <w:spacing w:before="54" w:line="196" w:lineRule="auto"/>
        <w:ind w:left="311" w:firstLine="21"/>
      </w:pPr>
      <w:r>
        <w:rPr>
          <w:color w:val="231F20"/>
          <w:spacing w:val="11"/>
        </w:rPr>
        <w:t>17.G银行决定发放20年期的按揭贷款</w:t>
      </w:r>
      <w:r>
        <w:rPr>
          <w:color w:val="231F20"/>
          <w:spacing w:val="-11"/>
        </w:rPr>
        <w:t xml:space="preserve"> </w:t>
      </w:r>
      <w:r>
        <w:rPr>
          <w:color w:val="231F20"/>
          <w:spacing w:val="11"/>
        </w:rPr>
        <w:t>，并正在考虑各种为该贷款融资和管理流动性的方</w:t>
      </w:r>
      <w:r>
        <w:rPr>
          <w:color w:val="231F20"/>
        </w:rPr>
        <w:t xml:space="preserve"> </w:t>
      </w:r>
      <w:r>
        <w:rPr>
          <w:color w:val="231F20"/>
          <w:spacing w:val="4"/>
          <w:position w:val="-19"/>
        </w:rPr>
        <w:t>—</w:t>
      </w:r>
      <w:r>
        <w:rPr>
          <w:color w:val="231F20"/>
          <w:spacing w:val="4"/>
        </w:rPr>
        <w:t>法</w:t>
      </w:r>
      <w:r>
        <w:rPr>
          <w:color w:val="231F20"/>
          <w:spacing w:val="4"/>
          <w:u w:val="single" w:color="auto"/>
        </w:rPr>
        <w:t>。下</w:t>
      </w:r>
      <w:r>
        <w:rPr>
          <w:rFonts w:hint="eastAsia"/>
          <w:color w:val="231F20"/>
          <w:spacing w:val="4"/>
          <w:u w:val="single" w:color="auto"/>
          <w:lang w:eastAsia="zh-CN"/>
        </w:rPr>
        <w:t>列</w:t>
      </w:r>
      <w:r>
        <w:rPr>
          <w:color w:val="231F20"/>
          <w:spacing w:val="4"/>
          <w:u w:val="single" w:color="auto"/>
        </w:rPr>
        <w:t>贷款融</w:t>
      </w:r>
      <w:r>
        <w:rPr>
          <w:color w:val="231F20"/>
          <w:spacing w:val="4"/>
        </w:rPr>
        <w:t>资的方法中</w:t>
      </w:r>
      <w:r>
        <w:rPr>
          <w:color w:val="231F20"/>
          <w:spacing w:val="-16"/>
        </w:rPr>
        <w:t xml:space="preserve"> </w:t>
      </w:r>
      <w:r>
        <w:rPr>
          <w:color w:val="231F20"/>
          <w:spacing w:val="4"/>
        </w:rPr>
        <w:t>，存在最大外生流动性风险的是？</w:t>
      </w:r>
    </w:p>
    <w:p w14:paraId="49A26852">
      <w:pPr>
        <w:pStyle w:val="2"/>
        <w:spacing w:before="74" w:line="116" w:lineRule="exact"/>
        <w:ind w:left="323"/>
      </w:pPr>
      <w:r>
        <w:rPr>
          <w:color w:val="231F20"/>
          <w:position w:val="2"/>
        </w:rPr>
        <w:t>.</w:t>
      </w:r>
    </w:p>
    <w:p w14:paraId="6E25F5AF">
      <w:pPr>
        <w:pStyle w:val="2"/>
        <w:spacing w:before="48" w:line="190" w:lineRule="auto"/>
        <w:ind w:left="313"/>
      </w:pPr>
      <w:r>
        <w:rPr>
          <w:color w:val="231F20"/>
          <w:spacing w:val="10"/>
        </w:rPr>
        <w:t>A.隔夜银行间市场</w:t>
      </w:r>
    </w:p>
    <w:p w14:paraId="01B382AF">
      <w:pPr>
        <w:pStyle w:val="2"/>
        <w:spacing w:before="21" w:line="224" w:lineRule="auto"/>
        <w:ind w:left="321" w:right="4716" w:firstLine="10"/>
      </w:pPr>
      <w:r>
        <w:rPr>
          <w:color w:val="231F20"/>
          <w:spacing w:val="8"/>
        </w:rPr>
        <w:t>B.6个月期伦敦银行同业拆借利率市场</w:t>
      </w:r>
      <w:r>
        <w:rPr>
          <w:color w:val="231F20"/>
          <w:spacing w:val="16"/>
        </w:rPr>
        <w:t xml:space="preserve"> </w:t>
      </w:r>
      <w:r>
        <w:rPr>
          <w:color w:val="231F20"/>
          <w:spacing w:val="9"/>
        </w:rPr>
        <w:t>C.5年期国债市场</w:t>
      </w:r>
    </w:p>
    <w:p w14:paraId="58AB0C0F">
      <w:pPr>
        <w:pStyle w:val="2"/>
        <w:spacing w:before="38" w:line="190" w:lineRule="auto"/>
        <w:ind w:left="331"/>
      </w:pPr>
      <w:r>
        <w:rPr>
          <w:color w:val="231F20"/>
          <w:spacing w:val="4"/>
        </w:rPr>
        <w:t>D.外汇市场</w:t>
      </w:r>
    </w:p>
    <w:p w14:paraId="1850DB6A">
      <w:pPr>
        <w:pStyle w:val="2"/>
        <w:spacing w:before="36" w:line="190" w:lineRule="auto"/>
        <w:ind w:left="314"/>
      </w:pPr>
      <w:r>
        <w:rPr>
          <w:color w:val="231F20"/>
          <w:spacing w:val="1"/>
        </w:rPr>
        <w:t>正确答案</w:t>
      </w:r>
      <w:r>
        <w:rPr>
          <w:color w:val="231F20"/>
          <w:spacing w:val="-17"/>
        </w:rPr>
        <w:t xml:space="preserve"> </w:t>
      </w:r>
      <w:r>
        <w:rPr>
          <w:color w:val="231F20"/>
          <w:spacing w:val="1"/>
        </w:rPr>
        <w:t>：A</w:t>
      </w:r>
    </w:p>
    <w:p w14:paraId="347F5CDB">
      <w:pPr>
        <w:pStyle w:val="2"/>
        <w:spacing w:before="47" w:line="190" w:lineRule="auto"/>
        <w:ind w:left="312"/>
      </w:pPr>
      <w:r>
        <w:rPr>
          <w:color w:val="231F20"/>
          <w:spacing w:val="5"/>
        </w:rPr>
        <w:t>知识点</w:t>
      </w:r>
      <w:r>
        <w:rPr>
          <w:color w:val="231F20"/>
          <w:spacing w:val="-21"/>
        </w:rPr>
        <w:t xml:space="preserve"> </w:t>
      </w:r>
      <w:r>
        <w:rPr>
          <w:color w:val="231F20"/>
          <w:spacing w:val="5"/>
        </w:rPr>
        <w:t>：资产负债管理</w:t>
      </w:r>
    </w:p>
    <w:p w14:paraId="3D559ACB">
      <w:pPr>
        <w:pStyle w:val="2"/>
        <w:spacing w:before="17" w:line="197" w:lineRule="auto"/>
        <w:ind w:left="311" w:right="69" w:firstLine="21"/>
      </w:pPr>
      <w:r>
        <w:rPr>
          <w:color w:val="231F20"/>
          <w:spacing w:val="7"/>
        </w:rPr>
        <w:t>18.G银行持有5亿美元的贷款和4亿美元的存款。若贷款的修正久期</w:t>
      </w:r>
      <w:r>
        <w:rPr>
          <w:color w:val="231F20"/>
          <w:spacing w:val="6"/>
        </w:rPr>
        <w:t>为4</w:t>
      </w:r>
      <w:r>
        <w:rPr>
          <w:color w:val="231F20"/>
          <w:spacing w:val="-30"/>
        </w:rPr>
        <w:t xml:space="preserve"> </w:t>
      </w:r>
      <w:r>
        <w:rPr>
          <w:color w:val="231F20"/>
          <w:spacing w:val="6"/>
        </w:rPr>
        <w:t>，存款的修正久期</w:t>
      </w:r>
      <w:r>
        <w:rPr>
          <w:color w:val="231F20"/>
        </w:rPr>
        <w:t xml:space="preserve"> </w:t>
      </w:r>
      <w:r>
        <w:rPr>
          <w:color w:val="231F20"/>
          <w:spacing w:val="6"/>
          <w:position w:val="-19"/>
        </w:rPr>
        <w:t xml:space="preserve">— </w:t>
      </w:r>
      <w:r>
        <w:rPr>
          <w:color w:val="231F20"/>
          <w:spacing w:val="6"/>
          <w:u w:val="single" w:color="auto"/>
        </w:rPr>
        <w:t>为2</w:t>
      </w:r>
      <w:r>
        <w:rPr>
          <w:color w:val="231F20"/>
          <w:spacing w:val="-22"/>
          <w:u w:val="single" w:color="auto"/>
        </w:rPr>
        <w:t xml:space="preserve"> </w:t>
      </w:r>
      <w:r>
        <w:rPr>
          <w:color w:val="231F20"/>
          <w:spacing w:val="6"/>
          <w:u w:val="single" w:color="auto"/>
        </w:rPr>
        <w:t>，当收益率变</w:t>
      </w:r>
      <w:r>
        <w:rPr>
          <w:color w:val="231F20"/>
          <w:spacing w:val="6"/>
        </w:rPr>
        <w:t>动1%时</w:t>
      </w:r>
      <w:r>
        <w:rPr>
          <w:color w:val="231F20"/>
          <w:spacing w:val="-26"/>
        </w:rPr>
        <w:t xml:space="preserve"> </w:t>
      </w:r>
      <w:r>
        <w:rPr>
          <w:color w:val="231F20"/>
          <w:spacing w:val="6"/>
        </w:rPr>
        <w:t>，G银行的久期缺口为：</w:t>
      </w:r>
    </w:p>
    <w:p w14:paraId="3A5343F0">
      <w:pPr>
        <w:pStyle w:val="2"/>
        <w:spacing w:before="76" w:line="115" w:lineRule="exact"/>
        <w:ind w:left="323"/>
      </w:pPr>
      <w:r>
        <w:rPr>
          <w:color w:val="231F20"/>
          <w:position w:val="2"/>
        </w:rPr>
        <w:t>.</w:t>
      </w:r>
    </w:p>
    <w:p w14:paraId="49F2C79B">
      <w:pPr>
        <w:pStyle w:val="2"/>
        <w:spacing w:before="49" w:line="190" w:lineRule="auto"/>
        <w:ind w:left="313"/>
      </w:pPr>
      <w:r>
        <w:rPr>
          <w:color w:val="231F20"/>
          <w:spacing w:val="9"/>
        </w:rPr>
        <w:t>A.1.2</w:t>
      </w:r>
    </w:p>
    <w:p w14:paraId="44F2137A">
      <w:pPr>
        <w:pStyle w:val="2"/>
        <w:spacing w:before="1" w:line="224" w:lineRule="auto"/>
        <w:ind w:left="331"/>
      </w:pPr>
      <w:r>
        <w:rPr>
          <w:color w:val="231F20"/>
          <w:spacing w:val="5"/>
        </w:rPr>
        <w:t>B.2.2</w:t>
      </w:r>
    </w:p>
    <w:p w14:paraId="3DC80E54">
      <w:pPr>
        <w:pStyle w:val="2"/>
        <w:spacing w:before="1" w:line="223" w:lineRule="auto"/>
        <w:ind w:left="321"/>
      </w:pPr>
      <w:r>
        <w:rPr>
          <w:color w:val="231F20"/>
          <w:spacing w:val="9"/>
        </w:rPr>
        <w:t>C.2.4</w:t>
      </w:r>
    </w:p>
    <w:p w14:paraId="4B152D79">
      <w:pPr>
        <w:pStyle w:val="2"/>
        <w:spacing w:line="359" w:lineRule="exact"/>
        <w:ind w:left="331"/>
      </w:pPr>
      <w:r>
        <w:rPr>
          <w:color w:val="231F20"/>
          <w:spacing w:val="3"/>
          <w:position w:val="3"/>
        </w:rPr>
        <w:t>D.3.6</w:t>
      </w:r>
    </w:p>
    <w:p w14:paraId="2A507783">
      <w:pPr>
        <w:pStyle w:val="2"/>
        <w:spacing w:before="9" w:line="189" w:lineRule="auto"/>
        <w:ind w:left="314"/>
      </w:pPr>
      <w:r>
        <w:rPr>
          <w:color w:val="231F20"/>
          <w:spacing w:val="7"/>
        </w:rPr>
        <w:t>正确答：</w:t>
      </w:r>
      <w:r>
        <w:rPr>
          <w:color w:val="231F20"/>
          <w:spacing w:val="-36"/>
        </w:rPr>
        <w:t xml:space="preserve"> </w:t>
      </w:r>
      <w:r>
        <w:rPr>
          <w:color w:val="231F20"/>
          <w:spacing w:val="7"/>
        </w:rPr>
        <w:t>C</w:t>
      </w:r>
    </w:p>
    <w:p w14:paraId="54ABACE6">
      <w:pPr>
        <w:pStyle w:val="2"/>
        <w:spacing w:before="47" w:line="190" w:lineRule="auto"/>
        <w:ind w:left="312"/>
      </w:pPr>
      <w:r>
        <w:rPr>
          <w:color w:val="231F20"/>
          <w:spacing w:val="5"/>
        </w:rPr>
        <w:t>知识点</w:t>
      </w:r>
      <w:r>
        <w:rPr>
          <w:color w:val="231F20"/>
          <w:spacing w:val="-21"/>
        </w:rPr>
        <w:t xml:space="preserve"> </w:t>
      </w:r>
      <w:r>
        <w:rPr>
          <w:color w:val="231F20"/>
          <w:spacing w:val="5"/>
        </w:rPr>
        <w:t>：资产负债管理</w:t>
      </w:r>
    </w:p>
    <w:p w14:paraId="04DCB003">
      <w:pPr>
        <w:pStyle w:val="2"/>
        <w:spacing w:before="20" w:line="233" w:lineRule="auto"/>
        <w:ind w:left="332"/>
      </w:pPr>
      <w:r>
        <w:rPr>
          <w:color w:val="231F20"/>
          <w:spacing w:val="8"/>
        </w:rPr>
        <w:t>19.有时</w:t>
      </w:r>
      <w:r>
        <w:rPr>
          <w:color w:val="231F20"/>
          <w:spacing w:val="-25"/>
        </w:rPr>
        <w:t xml:space="preserve"> </w:t>
      </w:r>
      <w:r>
        <w:rPr>
          <w:color w:val="231F20"/>
          <w:spacing w:val="8"/>
        </w:rPr>
        <w:t>，两个或两个以上的高级董事可以签核中等规模的信</w:t>
      </w:r>
      <w:r>
        <w:rPr>
          <w:color w:val="231F20"/>
          <w:spacing w:val="7"/>
        </w:rPr>
        <w:t>贷</w:t>
      </w:r>
      <w:r>
        <w:rPr>
          <w:color w:val="231F20"/>
          <w:spacing w:val="-28"/>
        </w:rPr>
        <w:t xml:space="preserve"> </w:t>
      </w:r>
      <w:r>
        <w:rPr>
          <w:color w:val="231F20"/>
          <w:spacing w:val="7"/>
        </w:rPr>
        <w:t>，但必须遵循一般流程，</w:t>
      </w:r>
    </w:p>
    <w:p w14:paraId="182F1DF3">
      <w:pPr>
        <w:pStyle w:val="2"/>
        <w:spacing w:before="18" w:line="185" w:lineRule="auto"/>
        <w:ind w:left="311" w:right="14" w:firstLine="262"/>
      </w:pPr>
      <w:r>
        <w:rPr>
          <w:color w:val="231F20"/>
          <w:spacing w:val="12"/>
        </w:rPr>
        <w:t>将适当的申请递交至信用风险部门。</w:t>
      </w:r>
      <w:r>
        <w:rPr>
          <w:color w:val="231F20"/>
          <w:spacing w:val="-29"/>
        </w:rPr>
        <w:t xml:space="preserve"> </w:t>
      </w:r>
      <w:r>
        <w:rPr>
          <w:color w:val="231F20"/>
          <w:spacing w:val="12"/>
        </w:rPr>
        <w:t>随后</w:t>
      </w:r>
      <w:r>
        <w:rPr>
          <w:color w:val="231F20"/>
          <w:spacing w:val="-23"/>
        </w:rPr>
        <w:t xml:space="preserve"> </w:t>
      </w:r>
      <w:r>
        <w:rPr>
          <w:color w:val="231F20"/>
          <w:spacing w:val="12"/>
        </w:rPr>
        <w:t>，信用风险部门一般按照什么顺序来处理贷</w:t>
      </w:r>
      <w:r>
        <w:rPr>
          <w:color w:val="231F20"/>
        </w:rPr>
        <w:t xml:space="preserve"> </w:t>
      </w:r>
      <w:r>
        <w:rPr>
          <w:color w:val="231F20"/>
          <w:spacing w:val="-8"/>
          <w:position w:val="-19"/>
        </w:rPr>
        <w:t>—</w:t>
      </w:r>
      <w:r>
        <w:rPr>
          <w:color w:val="231F20"/>
          <w:spacing w:val="-18"/>
          <w:position w:val="-19"/>
        </w:rPr>
        <w:t xml:space="preserve"> </w:t>
      </w:r>
      <w:r>
        <w:rPr>
          <w:color w:val="231F20"/>
          <w:spacing w:val="-8"/>
          <w:u w:val="single" w:color="auto"/>
        </w:rPr>
        <w:t>款申请？</w:t>
      </w:r>
      <w:r>
        <w:rPr>
          <w:color w:val="231F20"/>
          <w:u w:val="single" w:color="auto"/>
        </w:rPr>
        <w:t xml:space="preserve">                 </w:t>
      </w:r>
    </w:p>
    <w:p w14:paraId="702948AC">
      <w:pPr>
        <w:pStyle w:val="2"/>
        <w:spacing w:before="75" w:line="116" w:lineRule="exact"/>
        <w:ind w:left="323"/>
      </w:pPr>
      <w:r>
        <w:rPr>
          <w:color w:val="231F20"/>
          <w:position w:val="2"/>
        </w:rPr>
        <w:t>.</w:t>
      </w:r>
    </w:p>
    <w:p w14:paraId="6BF78495">
      <w:pPr>
        <w:pStyle w:val="2"/>
        <w:spacing w:before="60" w:line="190" w:lineRule="auto"/>
        <w:ind w:left="313"/>
      </w:pPr>
      <w:r>
        <w:rPr>
          <w:color w:val="231F20"/>
          <w:spacing w:val="4"/>
        </w:rPr>
        <w:t>A.盈利能力</w:t>
      </w:r>
      <w:r>
        <w:rPr>
          <w:color w:val="231F20"/>
          <w:spacing w:val="-11"/>
        </w:rPr>
        <w:t xml:space="preserve"> </w:t>
      </w:r>
      <w:r>
        <w:rPr>
          <w:color w:val="231F20"/>
          <w:spacing w:val="4"/>
        </w:rPr>
        <w:t>，</w:t>
      </w:r>
      <w:r>
        <w:rPr>
          <w:color w:val="231F20"/>
          <w:spacing w:val="-37"/>
        </w:rPr>
        <w:t xml:space="preserve"> </w:t>
      </w:r>
      <w:r>
        <w:rPr>
          <w:color w:val="231F20"/>
          <w:spacing w:val="4"/>
        </w:rPr>
        <w:t>品质</w:t>
      </w:r>
      <w:r>
        <w:rPr>
          <w:color w:val="231F20"/>
          <w:spacing w:val="-25"/>
        </w:rPr>
        <w:t xml:space="preserve"> </w:t>
      </w:r>
      <w:r>
        <w:rPr>
          <w:color w:val="231F20"/>
          <w:spacing w:val="4"/>
        </w:rPr>
        <w:t>，信用组合适宜性</w:t>
      </w:r>
    </w:p>
    <w:p w14:paraId="72375B7E">
      <w:pPr>
        <w:pStyle w:val="2"/>
        <w:spacing w:before="36" w:line="190" w:lineRule="auto"/>
        <w:ind w:left="331"/>
      </w:pPr>
      <w:r>
        <w:rPr>
          <w:color w:val="231F20"/>
          <w:spacing w:val="5"/>
        </w:rPr>
        <w:t>B.品质</w:t>
      </w:r>
      <w:r>
        <w:rPr>
          <w:color w:val="231F20"/>
          <w:spacing w:val="-25"/>
        </w:rPr>
        <w:t xml:space="preserve"> </w:t>
      </w:r>
      <w:r>
        <w:rPr>
          <w:color w:val="231F20"/>
          <w:spacing w:val="5"/>
        </w:rPr>
        <w:t>，信用组合适宜性</w:t>
      </w:r>
      <w:r>
        <w:rPr>
          <w:color w:val="231F20"/>
          <w:spacing w:val="-26"/>
        </w:rPr>
        <w:t xml:space="preserve"> </w:t>
      </w:r>
      <w:r>
        <w:rPr>
          <w:color w:val="231F20"/>
          <w:spacing w:val="5"/>
        </w:rPr>
        <w:t>，盈利能力</w:t>
      </w:r>
    </w:p>
    <w:p w14:paraId="5AD8ADCB">
      <w:pPr>
        <w:pStyle w:val="2"/>
        <w:spacing w:before="47" w:line="190" w:lineRule="auto"/>
        <w:ind w:left="321"/>
      </w:pPr>
      <w:r>
        <w:rPr>
          <w:color w:val="231F20"/>
          <w:spacing w:val="5"/>
        </w:rPr>
        <w:t>C.品质</w:t>
      </w:r>
      <w:r>
        <w:rPr>
          <w:color w:val="231F20"/>
          <w:spacing w:val="-14"/>
        </w:rPr>
        <w:t xml:space="preserve"> </w:t>
      </w:r>
      <w:r>
        <w:rPr>
          <w:color w:val="231F20"/>
          <w:spacing w:val="5"/>
        </w:rPr>
        <w:t>，盈利能力</w:t>
      </w:r>
      <w:r>
        <w:rPr>
          <w:color w:val="231F20"/>
          <w:spacing w:val="-25"/>
        </w:rPr>
        <w:t xml:space="preserve"> </w:t>
      </w:r>
      <w:r>
        <w:rPr>
          <w:color w:val="231F20"/>
          <w:spacing w:val="5"/>
        </w:rPr>
        <w:t>，信用组合适宜性</w:t>
      </w:r>
    </w:p>
    <w:p w14:paraId="2EC2B9E6">
      <w:pPr>
        <w:pStyle w:val="2"/>
        <w:spacing w:before="50" w:line="190" w:lineRule="auto"/>
        <w:ind w:left="331"/>
      </w:pPr>
      <w:r>
        <w:rPr>
          <w:color w:val="231F20"/>
          <w:spacing w:val="3"/>
        </w:rPr>
        <w:t>D.信用组合适宜性</w:t>
      </w:r>
      <w:r>
        <w:rPr>
          <w:color w:val="231F20"/>
          <w:spacing w:val="-26"/>
        </w:rPr>
        <w:t xml:space="preserve"> </w:t>
      </w:r>
      <w:r>
        <w:rPr>
          <w:color w:val="231F20"/>
          <w:spacing w:val="3"/>
        </w:rPr>
        <w:t>，盈利能力</w:t>
      </w:r>
      <w:r>
        <w:rPr>
          <w:color w:val="231F20"/>
          <w:spacing w:val="-26"/>
        </w:rPr>
        <w:t xml:space="preserve"> </w:t>
      </w:r>
      <w:r>
        <w:rPr>
          <w:color w:val="231F20"/>
          <w:spacing w:val="3"/>
        </w:rPr>
        <w:t>，</w:t>
      </w:r>
      <w:r>
        <w:rPr>
          <w:color w:val="231F20"/>
          <w:spacing w:val="-39"/>
        </w:rPr>
        <w:t xml:space="preserve"> </w:t>
      </w:r>
      <w:r>
        <w:rPr>
          <w:color w:val="231F20"/>
          <w:spacing w:val="3"/>
        </w:rPr>
        <w:t>品质</w:t>
      </w:r>
    </w:p>
    <w:p w14:paraId="2368F37C">
      <w:pPr>
        <w:pStyle w:val="2"/>
        <w:spacing w:before="48" w:line="190" w:lineRule="auto"/>
        <w:ind w:left="314"/>
      </w:pPr>
      <w:r>
        <w:rPr>
          <w:color w:val="231F20"/>
          <w:spacing w:val="7"/>
        </w:rPr>
        <w:t>正确答案：</w:t>
      </w:r>
      <w:r>
        <w:rPr>
          <w:color w:val="231F20"/>
          <w:spacing w:val="-29"/>
        </w:rPr>
        <w:t xml:space="preserve"> </w:t>
      </w:r>
      <w:r>
        <w:rPr>
          <w:color w:val="231F20"/>
          <w:spacing w:val="7"/>
        </w:rPr>
        <w:t>B</w:t>
      </w:r>
    </w:p>
    <w:p w14:paraId="2ADE9F72">
      <w:pPr>
        <w:pStyle w:val="2"/>
        <w:spacing w:before="47" w:line="190" w:lineRule="auto"/>
        <w:ind w:left="312"/>
      </w:pPr>
      <w:r>
        <w:rPr>
          <w:color w:val="231F20"/>
          <w:spacing w:val="5"/>
        </w:rPr>
        <w:t>知识点</w:t>
      </w:r>
      <w:r>
        <w:rPr>
          <w:color w:val="231F20"/>
          <w:spacing w:val="-21"/>
        </w:rPr>
        <w:t xml:space="preserve"> </w:t>
      </w:r>
      <w:r>
        <w:rPr>
          <w:color w:val="231F20"/>
          <w:spacing w:val="5"/>
        </w:rPr>
        <w:t>：资产负债管理</w:t>
      </w:r>
    </w:p>
    <w:p w14:paraId="56837D33">
      <w:pPr>
        <w:pStyle w:val="2"/>
        <w:spacing w:before="18" w:line="197" w:lineRule="auto"/>
        <w:ind w:left="311" w:right="122" w:firstLine="12"/>
      </w:pPr>
      <w:r>
        <w:rPr>
          <w:color w:val="231F20"/>
          <w:spacing w:val="13"/>
        </w:rPr>
        <w:t>20.</w:t>
      </w:r>
      <w:r>
        <w:rPr>
          <w:color w:val="231F20"/>
          <w:spacing w:val="-19"/>
        </w:rPr>
        <w:t xml:space="preserve"> </w:t>
      </w:r>
      <w:r>
        <w:rPr>
          <w:color w:val="231F20"/>
          <w:spacing w:val="13"/>
        </w:rPr>
        <w:t>因子限制说明了银行愿意接受的该因子的最大风险敞口。</w:t>
      </w:r>
      <w:r>
        <w:rPr>
          <w:color w:val="231F20"/>
          <w:spacing w:val="-36"/>
        </w:rPr>
        <w:t xml:space="preserve"> </w:t>
      </w:r>
      <w:r>
        <w:rPr>
          <w:color w:val="231F20"/>
          <w:spacing w:val="13"/>
        </w:rPr>
        <w:t>以下属于因子限制的有：</w:t>
      </w:r>
      <w:r>
        <w:rPr>
          <w:color w:val="231F20"/>
        </w:rPr>
        <w:t xml:space="preserve"> </w:t>
      </w:r>
      <w:r>
        <w:rPr>
          <w:color w:val="231F20"/>
          <w:spacing w:val="-4"/>
          <w:position w:val="-19"/>
        </w:rPr>
        <w:t>—</w:t>
      </w:r>
      <w:r>
        <w:rPr>
          <w:color w:val="231F20"/>
          <w:spacing w:val="-4"/>
          <w:u w:val="single" w:color="auto"/>
        </w:rPr>
        <w:t xml:space="preserve">   Ⅰ</w:t>
      </w:r>
      <w:r>
        <w:rPr>
          <w:rFonts w:hint="eastAsia"/>
          <w:color w:val="231F20"/>
          <w:spacing w:val="-4"/>
          <w:u w:val="single" w:color="auto"/>
          <w:lang w:eastAsia="zh-CN"/>
        </w:rPr>
        <w:t>。</w:t>
      </w:r>
      <w:r>
        <w:rPr>
          <w:color w:val="231F20"/>
          <w:spacing w:val="-4"/>
          <w:u w:val="single" w:color="auto"/>
        </w:rPr>
        <w:t>凸性Ⅱ.CS01</w:t>
      </w:r>
      <w:r>
        <w:rPr>
          <w:color w:val="231F20"/>
          <w:spacing w:val="39"/>
          <w:w w:val="101"/>
          <w:u w:val="single" w:color="auto"/>
        </w:rPr>
        <w:t xml:space="preserve"> </w:t>
      </w:r>
      <w:r>
        <w:rPr>
          <w:color w:val="231F20"/>
          <w:spacing w:val="-4"/>
          <w:u w:val="single" w:color="auto"/>
        </w:rPr>
        <w:t>Ⅲ</w:t>
      </w:r>
      <w:r>
        <w:rPr>
          <w:rFonts w:hint="eastAsia"/>
          <w:color w:val="231F20"/>
          <w:spacing w:val="-4"/>
          <w:u w:val="single" w:color="auto"/>
          <w:lang w:eastAsia="zh-CN"/>
        </w:rPr>
        <w:t>。</w:t>
      </w:r>
      <w:r>
        <w:rPr>
          <w:color w:val="231F20"/>
          <w:spacing w:val="-4"/>
        </w:rPr>
        <w:t>延期集中度Ⅳ</w:t>
      </w:r>
      <w:r>
        <w:rPr>
          <w:rFonts w:hint="eastAsia"/>
          <w:color w:val="231F20"/>
          <w:spacing w:val="-4"/>
          <w:lang w:eastAsia="zh-CN"/>
        </w:rPr>
        <w:t>。阈值</w:t>
      </w:r>
      <w:r>
        <w:rPr>
          <w:color w:val="231F20"/>
          <w:spacing w:val="-4"/>
        </w:rPr>
        <w:t>变化</w:t>
      </w:r>
    </w:p>
    <w:p w14:paraId="49440F9D">
      <w:pPr>
        <w:pStyle w:val="2"/>
        <w:spacing w:before="75" w:line="115" w:lineRule="exact"/>
        <w:ind w:left="323"/>
      </w:pPr>
      <w:r>
        <w:rPr>
          <w:color w:val="231F20"/>
          <w:position w:val="2"/>
        </w:rPr>
        <w:t>.</w:t>
      </w:r>
    </w:p>
    <w:p w14:paraId="179BD797">
      <w:pPr>
        <w:pStyle w:val="2"/>
        <w:spacing w:before="44" w:line="187" w:lineRule="auto"/>
        <w:ind w:left="313"/>
      </w:pPr>
      <w:r>
        <w:rPr>
          <w:color w:val="231F20"/>
          <w:spacing w:val="-13"/>
        </w:rPr>
        <w:t>A.</w:t>
      </w:r>
      <w:r>
        <w:rPr>
          <w:color w:val="231F20"/>
          <w:spacing w:val="3"/>
        </w:rPr>
        <w:t xml:space="preserve">  </w:t>
      </w:r>
      <w:r>
        <w:rPr>
          <w:color w:val="231F20"/>
          <w:spacing w:val="-13"/>
        </w:rPr>
        <w:t>Ⅰ</w:t>
      </w:r>
      <w:r>
        <w:rPr>
          <w:color w:val="231F20"/>
          <w:spacing w:val="-31"/>
        </w:rPr>
        <w:t xml:space="preserve"> </w:t>
      </w:r>
      <w:r>
        <w:rPr>
          <w:color w:val="231F20"/>
          <w:spacing w:val="-13"/>
        </w:rPr>
        <w:t>、 Ⅱ</w:t>
      </w:r>
      <w:r>
        <w:rPr>
          <w:color w:val="231F20"/>
          <w:spacing w:val="-32"/>
        </w:rPr>
        <w:t xml:space="preserve"> </w:t>
      </w:r>
      <w:r>
        <w:rPr>
          <w:color w:val="231F20"/>
          <w:spacing w:val="-13"/>
        </w:rPr>
        <w:t>、Ⅲ</w:t>
      </w:r>
    </w:p>
    <w:p w14:paraId="307D690D">
      <w:pPr>
        <w:pStyle w:val="2"/>
        <w:spacing w:before="1" w:line="233" w:lineRule="auto"/>
        <w:ind w:left="331"/>
      </w:pPr>
      <w:r>
        <w:rPr>
          <w:color w:val="231F20"/>
          <w:spacing w:val="-14"/>
        </w:rPr>
        <w:t>B.</w:t>
      </w:r>
      <w:r>
        <w:rPr>
          <w:color w:val="231F20"/>
          <w:spacing w:val="4"/>
        </w:rPr>
        <w:t xml:space="preserve">  </w:t>
      </w:r>
      <w:r>
        <w:rPr>
          <w:color w:val="231F20"/>
          <w:spacing w:val="-14"/>
        </w:rPr>
        <w:t>Ⅰ</w:t>
      </w:r>
      <w:r>
        <w:rPr>
          <w:color w:val="231F20"/>
          <w:spacing w:val="-28"/>
        </w:rPr>
        <w:t xml:space="preserve"> </w:t>
      </w:r>
      <w:r>
        <w:rPr>
          <w:color w:val="231F20"/>
          <w:spacing w:val="-14"/>
        </w:rPr>
        <w:t>、Ⅲ</w:t>
      </w:r>
      <w:r>
        <w:rPr>
          <w:color w:val="231F20"/>
          <w:spacing w:val="-30"/>
        </w:rPr>
        <w:t xml:space="preserve"> </w:t>
      </w:r>
      <w:r>
        <w:rPr>
          <w:color w:val="231F20"/>
          <w:spacing w:val="-14"/>
        </w:rPr>
        <w:t>、Ⅳ</w:t>
      </w:r>
    </w:p>
    <w:p w14:paraId="4E7F25EB">
      <w:pPr>
        <w:pStyle w:val="2"/>
        <w:spacing w:before="36" w:line="179" w:lineRule="auto"/>
        <w:ind w:left="321"/>
      </w:pPr>
      <w:r>
        <w:rPr>
          <w:color w:val="231F20"/>
          <w:spacing w:val="-3"/>
        </w:rPr>
        <w:t>C. Ⅱ</w:t>
      </w:r>
      <w:r>
        <w:rPr>
          <w:color w:val="231F20"/>
          <w:spacing w:val="-24"/>
        </w:rPr>
        <w:t xml:space="preserve"> </w:t>
      </w:r>
      <w:r>
        <w:rPr>
          <w:color w:val="231F20"/>
          <w:spacing w:val="-3"/>
        </w:rPr>
        <w:t>、Ⅲ</w:t>
      </w:r>
      <w:r>
        <w:rPr>
          <w:color w:val="231F20"/>
          <w:spacing w:val="-25"/>
        </w:rPr>
        <w:t xml:space="preserve"> </w:t>
      </w:r>
      <w:r>
        <w:rPr>
          <w:color w:val="231F20"/>
          <w:spacing w:val="-3"/>
        </w:rPr>
        <w:t>、Ⅳ</w:t>
      </w:r>
    </w:p>
    <w:p w14:paraId="512229D7">
      <w:pPr>
        <w:pStyle w:val="2"/>
        <w:spacing w:before="12" w:line="236" w:lineRule="auto"/>
        <w:ind w:left="331"/>
      </w:pPr>
      <w:r>
        <w:rPr>
          <w:color w:val="231F20"/>
          <w:spacing w:val="-15"/>
        </w:rPr>
        <w:t>D.  Ⅰ</w:t>
      </w:r>
      <w:r>
        <w:rPr>
          <w:color w:val="231F20"/>
          <w:spacing w:val="-31"/>
        </w:rPr>
        <w:t xml:space="preserve"> </w:t>
      </w:r>
      <w:r>
        <w:rPr>
          <w:color w:val="231F20"/>
          <w:spacing w:val="-15"/>
        </w:rPr>
        <w:t>、 Ⅱ</w:t>
      </w:r>
      <w:r>
        <w:rPr>
          <w:color w:val="231F20"/>
          <w:spacing w:val="-34"/>
        </w:rPr>
        <w:t xml:space="preserve"> </w:t>
      </w:r>
      <w:r>
        <w:rPr>
          <w:color w:val="231F20"/>
          <w:spacing w:val="-15"/>
        </w:rPr>
        <w:t>、Ⅳ</w:t>
      </w:r>
    </w:p>
    <w:p w14:paraId="48B44F1C">
      <w:pPr>
        <w:pStyle w:val="2"/>
        <w:spacing w:before="41" w:line="190" w:lineRule="auto"/>
        <w:ind w:left="314"/>
      </w:pPr>
      <w:r>
        <w:rPr>
          <w:color w:val="231F20"/>
          <w:spacing w:val="5"/>
        </w:rPr>
        <w:t>正确答案：</w:t>
      </w:r>
      <w:r>
        <w:rPr>
          <w:color w:val="231F20"/>
          <w:spacing w:val="-27"/>
        </w:rPr>
        <w:t xml:space="preserve"> </w:t>
      </w:r>
      <w:r>
        <w:rPr>
          <w:color w:val="231F20"/>
          <w:spacing w:val="5"/>
        </w:rPr>
        <w:t>D</w:t>
      </w:r>
    </w:p>
    <w:p w14:paraId="5A6DDBAC">
      <w:pPr>
        <w:pStyle w:val="2"/>
        <w:spacing w:before="53" w:line="190" w:lineRule="auto"/>
        <w:ind w:left="312"/>
      </w:pPr>
      <w:r>
        <w:rPr>
          <w:color w:val="231F20"/>
          <w:spacing w:val="5"/>
        </w:rPr>
        <w:t>知识点</w:t>
      </w:r>
      <w:r>
        <w:rPr>
          <w:color w:val="231F20"/>
          <w:spacing w:val="-21"/>
        </w:rPr>
        <w:t xml:space="preserve"> </w:t>
      </w:r>
      <w:r>
        <w:rPr>
          <w:color w:val="231F20"/>
          <w:spacing w:val="5"/>
        </w:rPr>
        <w:t>：资产负债管理</w:t>
      </w:r>
    </w:p>
    <w:p w14:paraId="1D937D14">
      <w:pPr>
        <w:spacing w:line="248" w:lineRule="auto"/>
        <w:rPr>
          <w:rFonts w:ascii="Arial"/>
          <w:sz w:val="21"/>
        </w:rPr>
      </w:pPr>
    </w:p>
    <w:p w14:paraId="345378A3">
      <w:pPr>
        <w:spacing w:line="248" w:lineRule="auto"/>
        <w:rPr>
          <w:rFonts w:ascii="Arial"/>
          <w:sz w:val="21"/>
        </w:rPr>
      </w:pPr>
    </w:p>
    <w:p w14:paraId="11DC529C">
      <w:pPr>
        <w:spacing w:line="248" w:lineRule="auto"/>
        <w:rPr>
          <w:rFonts w:ascii="Arial"/>
          <w:sz w:val="21"/>
        </w:rPr>
      </w:pPr>
      <w:r>
        <w:rPr>
          <w:rFonts w:hint="eastAsia" w:ascii="微软雅黑" w:hAnsi="微软雅黑" w:eastAsia="微软雅黑" w:cs="微软雅黑"/>
          <w:sz w:val="71"/>
          <w:szCs w:val="71"/>
          <w:lang w:eastAsia="zh-CN"/>
        </w:rPr>
        <w:drawing>
          <wp:anchor distT="0" distB="0" distL="114300" distR="114300" simplePos="0" relativeHeight="251712512" behindDoc="0" locked="0" layoutInCell="1" allowOverlap="1">
            <wp:simplePos x="0" y="0"/>
            <wp:positionH relativeFrom="column">
              <wp:posOffset>-565785</wp:posOffset>
            </wp:positionH>
            <wp:positionV relativeFrom="paragraph">
              <wp:posOffset>1109345</wp:posOffset>
            </wp:positionV>
            <wp:extent cx="6795770" cy="384810"/>
            <wp:effectExtent l="0" t="0" r="1270" b="11430"/>
            <wp:wrapNone/>
            <wp:docPr id="39" name="图片 39" descr="文字文稿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文字文稿1_01"/>
                    <pic:cNvPicPr>
                      <a:picLocks noChangeAspect="1"/>
                    </pic:cNvPicPr>
                  </pic:nvPicPr>
                  <pic:blipFill>
                    <a:blip r:embed="rId36">
                      <a:lum contrast="6000"/>
                    </a:blip>
                    <a:srcRect t="96008"/>
                    <a:stretch>
                      <a:fillRect/>
                    </a:stretch>
                  </pic:blipFill>
                  <pic:spPr>
                    <a:xfrm>
                      <a:off x="0" y="0"/>
                      <a:ext cx="6795770" cy="384810"/>
                    </a:xfrm>
                    <a:prstGeom prst="rect">
                      <a:avLst/>
                    </a:prstGeom>
                  </pic:spPr>
                </pic:pic>
              </a:graphicData>
            </a:graphic>
          </wp:anchor>
        </w:drawing>
      </w:r>
    </w:p>
    <w:p w14:paraId="48D1BD15">
      <w:pPr>
        <w:spacing w:line="248" w:lineRule="auto"/>
        <w:rPr>
          <w:rFonts w:ascii="Arial"/>
          <w:sz w:val="21"/>
        </w:rPr>
      </w:pPr>
    </w:p>
    <w:p w14:paraId="1A90099C">
      <w:pPr>
        <w:spacing w:line="249" w:lineRule="auto"/>
        <w:rPr>
          <w:rFonts w:ascii="Arial"/>
          <w:sz w:val="21"/>
        </w:rPr>
      </w:pPr>
    </w:p>
    <w:p w14:paraId="00D43D3A">
      <w:pPr>
        <w:spacing w:line="249" w:lineRule="auto"/>
        <w:rPr>
          <w:rFonts w:ascii="Arial"/>
          <w:sz w:val="21"/>
        </w:rPr>
      </w:pPr>
    </w:p>
    <w:p w14:paraId="482C31E6">
      <w:pPr>
        <w:spacing w:line="249" w:lineRule="auto"/>
        <w:rPr>
          <w:rFonts w:ascii="Arial"/>
          <w:sz w:val="21"/>
        </w:rPr>
        <w:sectPr>
          <w:footerReference r:id="rId24" w:type="default"/>
          <w:pgSz w:w="10660" w:h="15081"/>
          <w:pgMar w:top="402" w:right="1250" w:bottom="82" w:left="908" w:header="0" w:footer="0" w:gutter="0"/>
          <w:cols w:space="720" w:num="1"/>
        </w:sectPr>
      </w:pPr>
    </w:p>
    <w:p w14:paraId="55E92B08">
      <w:pPr>
        <w:spacing w:line="249" w:lineRule="auto"/>
        <w:rPr>
          <w:rFonts w:ascii="Arial"/>
          <w:sz w:val="21"/>
        </w:rPr>
      </w:pPr>
    </w:p>
    <w:p w14:paraId="2A10E0DE">
      <w:pPr>
        <w:spacing w:line="254" w:lineRule="auto"/>
        <w:rPr>
          <w:rFonts w:ascii="Arial"/>
          <w:sz w:val="21"/>
        </w:rPr>
      </w:pPr>
    </w:p>
    <w:p w14:paraId="6E00C4B2">
      <w:pPr>
        <w:spacing w:line="254" w:lineRule="auto"/>
        <w:rPr>
          <w:rFonts w:ascii="Arial"/>
          <w:sz w:val="21"/>
        </w:rPr>
      </w:pPr>
    </w:p>
    <w:p w14:paraId="718C5092">
      <w:pPr>
        <w:spacing w:line="254" w:lineRule="auto"/>
        <w:rPr>
          <w:rFonts w:ascii="Arial"/>
          <w:sz w:val="21"/>
        </w:rPr>
      </w:pPr>
    </w:p>
    <w:p w14:paraId="4498780F">
      <w:pPr>
        <w:spacing w:line="254" w:lineRule="auto"/>
        <w:rPr>
          <w:rFonts w:ascii="Arial"/>
          <w:sz w:val="21"/>
        </w:rPr>
      </w:pPr>
    </w:p>
    <w:p w14:paraId="2ACF5A42">
      <w:pPr>
        <w:spacing w:line="293" w:lineRule="exact"/>
        <w:ind w:firstLine="6846"/>
      </w:pPr>
      <w:r>
        <w:rPr>
          <w:position w:val="-5"/>
        </w:rPr>
        <w:drawing>
          <wp:inline distT="0" distB="0" distL="0" distR="0">
            <wp:extent cx="1558290" cy="185420"/>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47"/>
                    <a:stretch>
                      <a:fillRect/>
                    </a:stretch>
                  </pic:blipFill>
                  <pic:spPr>
                    <a:xfrm>
                      <a:off x="0" y="0"/>
                      <a:ext cx="1558369" cy="185928"/>
                    </a:xfrm>
                    <a:prstGeom prst="rect">
                      <a:avLst/>
                    </a:prstGeom>
                  </pic:spPr>
                </pic:pic>
              </a:graphicData>
            </a:graphic>
          </wp:inline>
        </w:drawing>
      </w:r>
    </w:p>
    <w:p w14:paraId="33E02AFE">
      <w:pPr>
        <w:spacing w:line="465" w:lineRule="auto"/>
        <w:rPr>
          <w:rFonts w:ascii="Arial"/>
          <w:sz w:val="21"/>
        </w:rPr>
      </w:pPr>
    </w:p>
    <w:p w14:paraId="2E0D1D85">
      <w:pPr>
        <w:pStyle w:val="2"/>
        <w:spacing w:before="210" w:line="184" w:lineRule="auto"/>
        <w:ind w:left="1180"/>
        <w:rPr>
          <w:sz w:val="49"/>
          <w:szCs w:val="49"/>
        </w:rPr>
      </w:pPr>
      <w:r>
        <w:rPr>
          <w:color w:val="7F7F7F"/>
          <w:spacing w:val="5"/>
          <w:sz w:val="49"/>
          <w:szCs w:val="49"/>
        </w:rPr>
        <w:t>联系我们</w:t>
      </w:r>
    </w:p>
    <w:p w14:paraId="2A7089E9">
      <w:pPr>
        <w:spacing w:line="295" w:lineRule="auto"/>
        <w:rPr>
          <w:rFonts w:ascii="Arial"/>
          <w:sz w:val="21"/>
        </w:rPr>
      </w:pPr>
    </w:p>
    <w:p w14:paraId="3DB92BF2">
      <w:pPr>
        <w:spacing w:line="295" w:lineRule="auto"/>
        <w:rPr>
          <w:rFonts w:ascii="Arial"/>
          <w:sz w:val="21"/>
        </w:rPr>
      </w:pPr>
    </w:p>
    <w:p w14:paraId="5506030E">
      <w:pPr>
        <w:spacing w:line="295" w:lineRule="auto"/>
        <w:rPr>
          <w:rFonts w:ascii="Arial"/>
          <w:sz w:val="21"/>
        </w:rPr>
      </w:pPr>
    </w:p>
    <w:p w14:paraId="234D11B7">
      <w:pPr>
        <w:spacing w:line="296" w:lineRule="auto"/>
        <w:rPr>
          <w:rFonts w:ascii="Arial"/>
          <w:sz w:val="21"/>
        </w:rPr>
      </w:pPr>
    </w:p>
    <w:p w14:paraId="0C60B6DE">
      <w:pPr>
        <w:pStyle w:val="2"/>
        <w:spacing w:before="103" w:line="253" w:lineRule="auto"/>
        <w:ind w:left="1642" w:right="1617"/>
        <w:jc w:val="both"/>
        <w:rPr>
          <w:sz w:val="24"/>
          <w:szCs w:val="24"/>
        </w:rPr>
      </w:pPr>
      <w:r>
        <w:rPr>
          <w:sz w:val="24"/>
          <w:szCs w:val="24"/>
        </w:rPr>
        <w:t>北京中企财管教育科技有限公司为金融风险与监管证书</w:t>
      </w:r>
      <w:r>
        <w:rPr>
          <w:rFonts w:hint="eastAsia"/>
          <w:sz w:val="24"/>
          <w:szCs w:val="24"/>
          <w:lang w:eastAsia="zh-CN"/>
        </w:rPr>
        <w:t>（</w:t>
      </w:r>
      <w:r>
        <w:rPr>
          <w:sz w:val="24"/>
          <w:szCs w:val="24"/>
        </w:rPr>
        <w:t>FRR</w:t>
      </w:r>
      <w:r>
        <w:rPr>
          <w:rFonts w:hint="eastAsia"/>
          <w:sz w:val="24"/>
          <w:szCs w:val="24"/>
          <w:lang w:eastAsia="zh-CN"/>
        </w:rPr>
        <w:t>）</w:t>
      </w:r>
      <w:r>
        <w:rPr>
          <w:sz w:val="24"/>
          <w:szCs w:val="24"/>
        </w:rPr>
        <w:t>项</w:t>
      </w:r>
      <w:r>
        <w:rPr>
          <w:spacing w:val="-1"/>
          <w:sz w:val="24"/>
          <w:szCs w:val="24"/>
        </w:rPr>
        <w:t>目全国</w:t>
      </w:r>
      <w:r>
        <w:rPr>
          <w:sz w:val="24"/>
          <w:szCs w:val="24"/>
        </w:rPr>
        <w:t xml:space="preserve">  </w:t>
      </w:r>
      <w:r>
        <w:rPr>
          <w:spacing w:val="-1"/>
          <w:sz w:val="24"/>
          <w:szCs w:val="24"/>
        </w:rPr>
        <w:t>运营中心的实际运营机构</w:t>
      </w:r>
      <w:r>
        <w:rPr>
          <w:spacing w:val="-35"/>
          <w:sz w:val="24"/>
          <w:szCs w:val="24"/>
        </w:rPr>
        <w:t xml:space="preserve"> </w:t>
      </w:r>
      <w:r>
        <w:rPr>
          <w:spacing w:val="-1"/>
          <w:sz w:val="24"/>
          <w:szCs w:val="24"/>
        </w:rPr>
        <w:t>，中企财管全权主导FRR项</w:t>
      </w:r>
      <w:r>
        <w:rPr>
          <w:spacing w:val="-2"/>
          <w:sz w:val="24"/>
          <w:szCs w:val="24"/>
        </w:rPr>
        <w:t>目的授权、推广及</w:t>
      </w:r>
      <w:r>
        <w:rPr>
          <w:sz w:val="24"/>
          <w:szCs w:val="24"/>
        </w:rPr>
        <w:t xml:space="preserve"> </w:t>
      </w:r>
      <w:r>
        <w:rPr>
          <w:spacing w:val="-1"/>
          <w:sz w:val="24"/>
          <w:szCs w:val="24"/>
        </w:rPr>
        <w:t>培训工作</w:t>
      </w:r>
      <w:r>
        <w:rPr>
          <w:spacing w:val="-35"/>
          <w:sz w:val="24"/>
          <w:szCs w:val="24"/>
        </w:rPr>
        <w:t xml:space="preserve"> </w:t>
      </w:r>
      <w:r>
        <w:rPr>
          <w:spacing w:val="-1"/>
          <w:sz w:val="24"/>
          <w:szCs w:val="24"/>
        </w:rPr>
        <w:t>，服务并管理FRR项目在国内的授</w:t>
      </w:r>
      <w:r>
        <w:rPr>
          <w:spacing w:val="-2"/>
          <w:sz w:val="24"/>
          <w:szCs w:val="24"/>
        </w:rPr>
        <w:t>权推广合作培训机构。</w:t>
      </w:r>
    </w:p>
    <w:p w14:paraId="26F2A56C">
      <w:pPr>
        <w:spacing w:line="300" w:lineRule="auto"/>
        <w:rPr>
          <w:rFonts w:ascii="Arial"/>
          <w:sz w:val="21"/>
        </w:rPr>
      </w:pPr>
    </w:p>
    <w:p w14:paraId="34AB38CF">
      <w:pPr>
        <w:spacing w:line="301" w:lineRule="auto"/>
        <w:rPr>
          <w:rFonts w:ascii="Arial"/>
          <w:sz w:val="21"/>
        </w:rPr>
      </w:pPr>
    </w:p>
    <w:p w14:paraId="3B53C763">
      <w:pPr>
        <w:spacing w:line="301" w:lineRule="auto"/>
        <w:rPr>
          <w:rFonts w:ascii="Arial"/>
          <w:sz w:val="21"/>
        </w:rPr>
      </w:pPr>
    </w:p>
    <w:p w14:paraId="266B5B17">
      <w:pPr>
        <w:pStyle w:val="2"/>
        <w:spacing w:before="103" w:line="183" w:lineRule="auto"/>
        <w:ind w:left="4535"/>
        <w:rPr>
          <w:sz w:val="24"/>
          <w:szCs w:val="24"/>
        </w:rPr>
      </w:pPr>
      <w:r>
        <w:rPr>
          <w:spacing w:val="-2"/>
          <w:sz w:val="24"/>
          <w:szCs w:val="24"/>
        </w:rPr>
        <w:t>GARP官方授权</w:t>
      </w:r>
    </w:p>
    <w:p w14:paraId="60570118">
      <w:pPr>
        <w:pStyle w:val="2"/>
        <w:spacing w:before="305" w:line="183" w:lineRule="auto"/>
        <w:ind w:left="3916"/>
        <w:rPr>
          <w:sz w:val="24"/>
          <w:szCs w:val="24"/>
        </w:rPr>
      </w:pPr>
      <w:r>
        <w:rPr>
          <w:b/>
          <w:bCs/>
          <w:color w:val="0000FF"/>
          <w:spacing w:val="-2"/>
          <w:sz w:val="24"/>
          <w:szCs w:val="24"/>
        </w:rPr>
        <w:t>FRR证书项目全国运营中心</w:t>
      </w:r>
    </w:p>
    <w:p w14:paraId="1AEA4548">
      <w:pPr>
        <w:pStyle w:val="2"/>
        <w:spacing w:before="257" w:line="226" w:lineRule="auto"/>
        <w:ind w:left="3684"/>
        <w:rPr>
          <w:sz w:val="24"/>
          <w:szCs w:val="24"/>
        </w:rPr>
      </w:pPr>
      <w:r>
        <w:rPr>
          <w:spacing w:val="-1"/>
          <w:sz w:val="24"/>
          <w:szCs w:val="24"/>
        </w:rPr>
        <w:t>授权合作电话：400-618-6078</w:t>
      </w:r>
    </w:p>
    <w:p w14:paraId="2237D419">
      <w:pPr>
        <w:pStyle w:val="2"/>
        <w:spacing w:before="232" w:line="226" w:lineRule="auto"/>
        <w:ind w:left="3666"/>
        <w:rPr>
          <w:sz w:val="24"/>
          <w:szCs w:val="24"/>
        </w:rPr>
      </w:pPr>
      <w:r>
        <w:rPr>
          <w:spacing w:val="-3"/>
          <w:sz w:val="24"/>
          <w:szCs w:val="24"/>
        </w:rPr>
        <w:t>投诉监督电话</w:t>
      </w:r>
      <w:r>
        <w:rPr>
          <w:spacing w:val="-17"/>
          <w:sz w:val="24"/>
          <w:szCs w:val="24"/>
        </w:rPr>
        <w:t xml:space="preserve"> </w:t>
      </w:r>
      <w:r>
        <w:rPr>
          <w:spacing w:val="-3"/>
          <w:sz w:val="24"/>
          <w:szCs w:val="24"/>
        </w:rPr>
        <w:t>：010-88192262</w:t>
      </w:r>
    </w:p>
    <w:p w14:paraId="2D3D5F7D">
      <w:pPr>
        <w:pStyle w:val="2"/>
        <w:spacing w:before="232" w:line="210" w:lineRule="auto"/>
        <w:ind w:left="4045"/>
        <w:rPr>
          <w:sz w:val="24"/>
          <w:szCs w:val="24"/>
        </w:rPr>
      </w:pPr>
      <w:r>
        <w:fldChar w:fldCharType="begin"/>
      </w:r>
      <w:r>
        <w:instrText xml:space="preserve"> HYPERLINK "https://www.frr.net.cn/" </w:instrText>
      </w:r>
      <w:r>
        <w:fldChar w:fldCharType="separate"/>
      </w:r>
      <w:r>
        <w:rPr>
          <w:spacing w:val="-1"/>
          <w:sz w:val="24"/>
          <w:szCs w:val="24"/>
        </w:rPr>
        <w:t>https://www.frr.net.cn/</w:t>
      </w:r>
      <w:r>
        <w:rPr>
          <w:spacing w:val="-1"/>
          <w:sz w:val="24"/>
          <w:szCs w:val="24"/>
        </w:rPr>
        <w:fldChar w:fldCharType="end"/>
      </w:r>
    </w:p>
    <w:p w14:paraId="0694EBEE">
      <w:pPr>
        <w:pStyle w:val="2"/>
        <w:spacing w:before="259" w:line="225" w:lineRule="auto"/>
        <w:ind w:left="1945"/>
        <w:rPr>
          <w:sz w:val="24"/>
          <w:szCs w:val="24"/>
        </w:rPr>
      </w:pPr>
      <w:r>
        <w:rPr>
          <w:sz w:val="24"/>
          <w:szCs w:val="24"/>
        </w:rPr>
        <w:t>地址：中铁创业大厦A座1010室北京市石景山区苹果园路</w:t>
      </w:r>
      <w:r>
        <w:rPr>
          <w:spacing w:val="-1"/>
          <w:sz w:val="24"/>
          <w:szCs w:val="24"/>
        </w:rPr>
        <w:t>28号院</w:t>
      </w:r>
    </w:p>
    <w:p w14:paraId="254E6038">
      <w:pPr>
        <w:spacing w:line="264" w:lineRule="auto"/>
        <w:rPr>
          <w:rFonts w:ascii="Arial"/>
          <w:sz w:val="21"/>
        </w:rPr>
      </w:pPr>
    </w:p>
    <w:p w14:paraId="6E4D3303">
      <w:pPr>
        <w:spacing w:line="264" w:lineRule="auto"/>
        <w:rPr>
          <w:rFonts w:ascii="Arial"/>
          <w:sz w:val="21"/>
        </w:rPr>
      </w:pPr>
    </w:p>
    <w:p w14:paraId="5C7FF1FE">
      <w:pPr>
        <w:spacing w:line="264" w:lineRule="auto"/>
        <w:rPr>
          <w:rFonts w:ascii="Arial"/>
          <w:sz w:val="21"/>
        </w:rPr>
      </w:pPr>
    </w:p>
    <w:p w14:paraId="374EC1DB">
      <w:pPr>
        <w:spacing w:line="2266" w:lineRule="exact"/>
        <w:ind w:firstLine="4195"/>
      </w:pPr>
      <w:r>
        <w:rPr>
          <w:position w:val="-45"/>
        </w:rPr>
        <w:drawing>
          <wp:inline distT="0" distB="0" distL="0" distR="0">
            <wp:extent cx="1438275" cy="1438275"/>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48"/>
                    <a:stretch>
                      <a:fillRect/>
                    </a:stretch>
                  </pic:blipFill>
                  <pic:spPr>
                    <a:xfrm>
                      <a:off x="0" y="0"/>
                      <a:ext cx="1438655" cy="1438655"/>
                    </a:xfrm>
                    <a:prstGeom prst="rect">
                      <a:avLst/>
                    </a:prstGeom>
                  </pic:spPr>
                </pic:pic>
              </a:graphicData>
            </a:graphic>
          </wp:inline>
        </w:drawing>
      </w:r>
    </w:p>
    <w:p w14:paraId="0A5BCD17">
      <w:pPr>
        <w:spacing w:line="2266" w:lineRule="exact"/>
        <w:sectPr>
          <w:headerReference r:id="rId25" w:type="default"/>
          <w:footerReference r:id="rId26" w:type="default"/>
          <w:pgSz w:w="10660" w:h="15081"/>
          <w:pgMar w:top="0" w:right="0" w:bottom="325" w:left="0" w:header="0" w:footer="0" w:gutter="0"/>
          <w:cols w:space="720" w:num="1"/>
        </w:sectPr>
      </w:pPr>
    </w:p>
    <w:p w14:paraId="133BA504">
      <w:pPr>
        <w:spacing w:line="245" w:lineRule="auto"/>
        <w:rPr>
          <w:rFonts w:ascii="Arial"/>
          <w:sz w:val="21"/>
        </w:rPr>
      </w:pPr>
    </w:p>
    <w:p w14:paraId="2809C974">
      <w:pPr>
        <w:spacing w:line="245" w:lineRule="auto"/>
        <w:rPr>
          <w:rFonts w:ascii="Arial"/>
          <w:sz w:val="21"/>
        </w:rPr>
      </w:pPr>
    </w:p>
    <w:p w14:paraId="1FB7E500">
      <w:pPr>
        <w:spacing w:line="245" w:lineRule="auto"/>
        <w:rPr>
          <w:rFonts w:ascii="Arial"/>
          <w:sz w:val="21"/>
        </w:rPr>
      </w:pPr>
    </w:p>
    <w:p w14:paraId="2B66202F">
      <w:pPr>
        <w:spacing w:line="246" w:lineRule="auto"/>
        <w:rPr>
          <w:rFonts w:ascii="Arial"/>
          <w:sz w:val="21"/>
        </w:rPr>
      </w:pPr>
    </w:p>
    <w:p w14:paraId="54D80776">
      <w:pPr>
        <w:spacing w:line="297" w:lineRule="exact"/>
        <w:ind w:firstLine="6437"/>
      </w:pPr>
      <w:r>
        <w:rPr>
          <w:position w:val="-5"/>
        </w:rPr>
        <w:drawing>
          <wp:inline distT="0" distB="0" distL="0" distR="0">
            <wp:extent cx="1558925" cy="187960"/>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49"/>
                    <a:stretch>
                      <a:fillRect/>
                    </a:stretch>
                  </pic:blipFill>
                  <pic:spPr>
                    <a:xfrm>
                      <a:off x="0" y="0"/>
                      <a:ext cx="1559401" cy="188494"/>
                    </a:xfrm>
                    <a:prstGeom prst="rect">
                      <a:avLst/>
                    </a:prstGeom>
                  </pic:spPr>
                </pic:pic>
              </a:graphicData>
            </a:graphic>
          </wp:inline>
        </w:drawing>
      </w:r>
    </w:p>
    <w:p w14:paraId="794F7EDF">
      <w:pPr>
        <w:spacing w:line="263" w:lineRule="auto"/>
        <w:rPr>
          <w:rFonts w:ascii="Arial"/>
          <w:sz w:val="21"/>
        </w:rPr>
      </w:pPr>
    </w:p>
    <w:p w14:paraId="5409B72F">
      <w:pPr>
        <w:spacing w:line="263" w:lineRule="auto"/>
        <w:rPr>
          <w:rFonts w:ascii="Arial"/>
          <w:sz w:val="21"/>
        </w:rPr>
      </w:pPr>
    </w:p>
    <w:p w14:paraId="4E880F81">
      <w:pPr>
        <w:spacing w:line="263" w:lineRule="auto"/>
        <w:rPr>
          <w:rFonts w:ascii="Arial"/>
          <w:sz w:val="21"/>
        </w:rPr>
      </w:pPr>
    </w:p>
    <w:p w14:paraId="1064044E">
      <w:pPr>
        <w:spacing w:line="263" w:lineRule="auto"/>
        <w:rPr>
          <w:rFonts w:ascii="Arial"/>
          <w:sz w:val="21"/>
        </w:rPr>
      </w:pPr>
    </w:p>
    <w:p w14:paraId="7A11336F">
      <w:pPr>
        <w:spacing w:line="264" w:lineRule="auto"/>
        <w:rPr>
          <w:rFonts w:ascii="Arial"/>
          <w:sz w:val="21"/>
        </w:rPr>
      </w:pPr>
    </w:p>
    <w:p w14:paraId="6F2D2435">
      <w:pPr>
        <w:pStyle w:val="2"/>
        <w:spacing w:before="184" w:line="186" w:lineRule="auto"/>
        <w:ind w:left="2738"/>
        <w:rPr>
          <w:sz w:val="43"/>
          <w:szCs w:val="43"/>
        </w:rPr>
      </w:pPr>
      <w:r>
        <w:rPr>
          <w:b/>
          <w:bCs/>
          <w:color w:val="7F7F7F"/>
          <w:sz w:val="43"/>
          <w:szCs w:val="43"/>
        </w:rPr>
        <w:t>FRR</w:t>
      </w:r>
      <w:r>
        <w:rPr>
          <w:b/>
          <w:bCs/>
          <w:color w:val="7F7F7F"/>
          <w:spacing w:val="7"/>
          <w:sz w:val="43"/>
          <w:szCs w:val="43"/>
        </w:rPr>
        <w:t>项目全国运营中心授权</w:t>
      </w:r>
    </w:p>
    <w:p w14:paraId="6CA59133">
      <w:pPr>
        <w:pStyle w:val="2"/>
        <w:spacing w:before="49" w:line="186" w:lineRule="auto"/>
        <w:ind w:left="2259"/>
        <w:rPr>
          <w:sz w:val="43"/>
          <w:szCs w:val="43"/>
        </w:rPr>
      </w:pPr>
      <w:r>
        <w:rPr>
          <w:b/>
          <w:bCs/>
          <w:color w:val="7F7F7F"/>
          <w:spacing w:val="9"/>
          <w:sz w:val="43"/>
          <w:szCs w:val="43"/>
        </w:rPr>
        <w:t>宝鸡独家推广合作机构联系方式</w:t>
      </w:r>
    </w:p>
    <w:p w14:paraId="02B75F67">
      <w:pPr>
        <w:spacing w:line="296" w:lineRule="auto"/>
        <w:rPr>
          <w:rFonts w:ascii="Arial"/>
          <w:sz w:val="21"/>
        </w:rPr>
      </w:pPr>
    </w:p>
    <w:p w14:paraId="3C1399C8">
      <w:pPr>
        <w:pStyle w:val="2"/>
        <w:spacing w:before="121" w:line="169" w:lineRule="auto"/>
        <w:ind w:left="3655"/>
        <w:rPr>
          <w:sz w:val="28"/>
          <w:szCs w:val="28"/>
        </w:rPr>
      </w:pPr>
      <w:r>
        <w:rPr>
          <w:b/>
          <w:bCs/>
          <w:spacing w:val="-1"/>
          <w:sz w:val="28"/>
          <w:szCs w:val="28"/>
        </w:rPr>
        <w:t>宝鸡高新人力资源有限公司</w:t>
      </w:r>
    </w:p>
    <w:p w14:paraId="55C6C7A9">
      <w:pPr>
        <w:pStyle w:val="2"/>
        <w:spacing w:before="1" w:line="225" w:lineRule="auto"/>
        <w:ind w:left="3686"/>
        <w:rPr>
          <w:sz w:val="28"/>
          <w:szCs w:val="28"/>
        </w:rPr>
      </w:pPr>
      <w:r>
        <w:rPr>
          <w:b/>
          <w:bCs/>
          <w:spacing w:val="-4"/>
          <w:sz w:val="28"/>
          <w:szCs w:val="28"/>
        </w:rPr>
        <w:t>（宝鸡高新智慧档案中心）</w:t>
      </w:r>
    </w:p>
    <w:p w14:paraId="43BC1CA3">
      <w:pPr>
        <w:spacing w:line="349" w:lineRule="auto"/>
        <w:rPr>
          <w:rFonts w:ascii="Arial"/>
          <w:sz w:val="21"/>
        </w:rPr>
      </w:pPr>
    </w:p>
    <w:p w14:paraId="724156C7">
      <w:pPr>
        <w:spacing w:line="1767" w:lineRule="exact"/>
        <w:ind w:firstLine="4420"/>
      </w:pPr>
      <w:r>
        <w:rPr>
          <w:position w:val="-35"/>
        </w:rPr>
        <w:drawing>
          <wp:inline distT="0" distB="0" distL="0" distR="0">
            <wp:extent cx="1155065" cy="1122045"/>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50"/>
                    <a:stretch>
                      <a:fillRect/>
                    </a:stretch>
                  </pic:blipFill>
                  <pic:spPr>
                    <a:xfrm>
                      <a:off x="0" y="0"/>
                      <a:ext cx="1155192" cy="1122045"/>
                    </a:xfrm>
                    <a:prstGeom prst="rect">
                      <a:avLst/>
                    </a:prstGeom>
                  </pic:spPr>
                </pic:pic>
              </a:graphicData>
            </a:graphic>
          </wp:inline>
        </w:drawing>
      </w:r>
    </w:p>
    <w:p w14:paraId="6A774E1F">
      <w:pPr>
        <w:spacing w:line="395" w:lineRule="auto"/>
        <w:rPr>
          <w:rFonts w:ascii="Arial"/>
          <w:sz w:val="21"/>
        </w:rPr>
      </w:pPr>
      <w:r>
        <w:rPr>
          <w:position w:val="-82"/>
        </w:rPr>
        <w:drawing>
          <wp:anchor distT="0" distB="0" distL="0" distR="0" simplePos="0" relativeHeight="251714560" behindDoc="0" locked="0" layoutInCell="1" allowOverlap="1">
            <wp:simplePos x="0" y="0"/>
            <wp:positionH relativeFrom="column">
              <wp:posOffset>750570</wp:posOffset>
            </wp:positionH>
            <wp:positionV relativeFrom="paragraph">
              <wp:posOffset>240665</wp:posOffset>
            </wp:positionV>
            <wp:extent cx="5152390" cy="2609215"/>
            <wp:effectExtent l="0" t="0" r="13970" b="12065"/>
            <wp:wrapNone/>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51"/>
                    <a:stretch>
                      <a:fillRect/>
                    </a:stretch>
                  </pic:blipFill>
                  <pic:spPr>
                    <a:xfrm>
                      <a:off x="0" y="0"/>
                      <a:ext cx="5152390" cy="2609849"/>
                    </a:xfrm>
                    <a:prstGeom prst="rect">
                      <a:avLst/>
                    </a:prstGeom>
                  </pic:spPr>
                </pic:pic>
              </a:graphicData>
            </a:graphic>
          </wp:anchor>
        </w:drawing>
      </w:r>
    </w:p>
    <w:p w14:paraId="79CBF915">
      <w:pPr>
        <w:spacing w:before="1" w:line="4110" w:lineRule="exact"/>
        <w:ind w:firstLine="1221"/>
      </w:pPr>
    </w:p>
    <w:p w14:paraId="6526B482">
      <w:pPr>
        <w:spacing w:before="326" w:line="198" w:lineRule="auto"/>
        <w:ind w:left="1531"/>
        <w:rPr>
          <w:rFonts w:ascii="黑体" w:hAnsi="黑体" w:eastAsia="黑体" w:cs="黑体"/>
          <w:sz w:val="28"/>
          <w:szCs w:val="28"/>
        </w:rPr>
      </w:pPr>
      <w:r>
        <w:rPr>
          <w:rFonts w:hint="eastAsia" w:eastAsia="微软雅黑"/>
          <w:lang w:eastAsia="zh-CN"/>
        </w:rPr>
        <w:drawing>
          <wp:anchor distT="0" distB="0" distL="114300" distR="114300" simplePos="0" relativeHeight="251713536" behindDoc="0" locked="0" layoutInCell="1" allowOverlap="1">
            <wp:simplePos x="0" y="0"/>
            <wp:positionH relativeFrom="column">
              <wp:posOffset>4962525</wp:posOffset>
            </wp:positionH>
            <wp:positionV relativeFrom="paragraph">
              <wp:posOffset>153035</wp:posOffset>
            </wp:positionV>
            <wp:extent cx="910590" cy="915670"/>
            <wp:effectExtent l="0" t="0" r="3810" b="13970"/>
            <wp:wrapNone/>
            <wp:docPr id="41" name="图片 41" descr="73e4e5e0-c550-4921-83f2-2074ba188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73e4e5e0-c550-4921-83f2-2074ba188061"/>
                    <pic:cNvPicPr>
                      <a:picLocks noChangeAspect="1"/>
                    </pic:cNvPicPr>
                  </pic:nvPicPr>
                  <pic:blipFill>
                    <a:blip r:embed="rId52"/>
                    <a:srcRect l="269" t="1970" r="5286" b="5419"/>
                    <a:stretch>
                      <a:fillRect/>
                    </a:stretch>
                  </pic:blipFill>
                  <pic:spPr>
                    <a:xfrm>
                      <a:off x="0" y="0"/>
                      <a:ext cx="910590" cy="915670"/>
                    </a:xfrm>
                    <a:prstGeom prst="rect">
                      <a:avLst/>
                    </a:prstGeom>
                  </pic:spPr>
                </pic:pic>
              </a:graphicData>
            </a:graphic>
          </wp:anchor>
        </w:drawing>
      </w:r>
      <w:r>
        <w:rPr>
          <w:rFonts w:ascii="黑体" w:hAnsi="黑体" w:eastAsia="黑体" w:cs="黑体"/>
          <w:spacing w:val="-1"/>
          <w:sz w:val="28"/>
          <w:szCs w:val="28"/>
        </w:rPr>
        <w:t>地址：陕西省宝鸡市高新区高端装备产业园9号楼</w:t>
      </w:r>
    </w:p>
    <w:p w14:paraId="32709F50">
      <w:pPr>
        <w:spacing w:line="196" w:lineRule="auto"/>
        <w:ind w:left="1543"/>
        <w:rPr>
          <w:rFonts w:ascii="黑体" w:hAnsi="黑体" w:eastAsia="黑体" w:cs="黑体"/>
          <w:sz w:val="28"/>
          <w:szCs w:val="28"/>
        </w:rPr>
      </w:pPr>
      <w:r>
        <w:rPr>
          <w:rFonts w:ascii="黑体" w:hAnsi="黑体" w:eastAsia="黑体" w:cs="黑体"/>
          <w:spacing w:val="-1"/>
          <w:sz w:val="28"/>
          <w:szCs w:val="28"/>
        </w:rPr>
        <w:t>网址：</w:t>
      </w:r>
      <w:r>
        <w:fldChar w:fldCharType="begin"/>
      </w:r>
      <w:r>
        <w:instrText xml:space="preserve"> HYPERLINK "http" </w:instrText>
      </w:r>
      <w:r>
        <w:fldChar w:fldCharType="separate"/>
      </w:r>
      <w:r>
        <w:rPr>
          <w:rFonts w:ascii="黑体" w:hAnsi="黑体" w:eastAsia="黑体" w:cs="黑体"/>
          <w:spacing w:val="-1"/>
          <w:sz w:val="28"/>
          <w:szCs w:val="28"/>
        </w:rPr>
        <w:t>http</w:t>
      </w:r>
      <w:r>
        <w:rPr>
          <w:rFonts w:ascii="黑体" w:hAnsi="黑体" w:eastAsia="黑体" w:cs="黑体"/>
          <w:spacing w:val="-1"/>
          <w:sz w:val="28"/>
          <w:szCs w:val="28"/>
        </w:rPr>
        <w:fldChar w:fldCharType="end"/>
      </w:r>
      <w:r>
        <w:rPr>
          <w:rFonts w:ascii="黑体" w:hAnsi="黑体" w:eastAsia="黑体" w:cs="黑体"/>
          <w:spacing w:val="-1"/>
          <w:sz w:val="28"/>
          <w:szCs w:val="28"/>
        </w:rPr>
        <w:t>//</w:t>
      </w:r>
      <w:r>
        <w:fldChar w:fldCharType="begin"/>
      </w:r>
      <w:r>
        <w:instrText xml:space="preserve"> HYPERLINK "https://www.bjgxhr.com" </w:instrText>
      </w:r>
      <w:r>
        <w:fldChar w:fldCharType="separate"/>
      </w:r>
      <w:r>
        <w:rPr>
          <w:rFonts w:ascii="黑体" w:hAnsi="黑体" w:eastAsia="黑体" w:cs="黑体"/>
          <w:spacing w:val="-1"/>
          <w:sz w:val="28"/>
          <w:szCs w:val="28"/>
        </w:rPr>
        <w:t>www.bjgxhr.com</w:t>
      </w:r>
      <w:r>
        <w:rPr>
          <w:rFonts w:ascii="黑体" w:hAnsi="黑体" w:eastAsia="黑体" w:cs="黑体"/>
          <w:spacing w:val="-1"/>
          <w:sz w:val="28"/>
          <w:szCs w:val="28"/>
        </w:rPr>
        <w:fldChar w:fldCharType="end"/>
      </w:r>
    </w:p>
    <w:p w14:paraId="274CA8CB">
      <w:pPr>
        <w:spacing w:before="1" w:line="197" w:lineRule="auto"/>
        <w:ind w:left="1547"/>
        <w:rPr>
          <w:rFonts w:ascii="黑体" w:hAnsi="黑体" w:eastAsia="黑体" w:cs="黑体"/>
          <w:sz w:val="28"/>
          <w:szCs w:val="28"/>
        </w:rPr>
      </w:pPr>
      <w:r>
        <w:rPr>
          <w:rFonts w:ascii="黑体" w:hAnsi="黑体" w:eastAsia="黑体" w:cs="黑体"/>
          <w:spacing w:val="-1"/>
          <w:sz w:val="28"/>
          <w:szCs w:val="28"/>
        </w:rPr>
        <w:t>电话：0917-866</w:t>
      </w:r>
      <w:r>
        <w:rPr>
          <w:rFonts w:hint="eastAsia" w:ascii="黑体" w:hAnsi="黑体" w:eastAsia="黑体" w:cs="黑体"/>
          <w:spacing w:val="-1"/>
          <w:sz w:val="28"/>
          <w:szCs w:val="28"/>
          <w:lang w:val="en-US" w:eastAsia="zh-CN"/>
        </w:rPr>
        <w:t>5997/</w:t>
      </w:r>
      <w:r>
        <w:rPr>
          <w:rFonts w:ascii="黑体" w:hAnsi="黑体" w:eastAsia="黑体" w:cs="黑体"/>
          <w:spacing w:val="-1"/>
          <w:sz w:val="28"/>
          <w:szCs w:val="28"/>
        </w:rPr>
        <w:t>866599</w:t>
      </w:r>
      <w:r>
        <w:rPr>
          <w:rFonts w:hint="eastAsia" w:ascii="黑体" w:hAnsi="黑体" w:eastAsia="黑体" w:cs="黑体"/>
          <w:spacing w:val="-1"/>
          <w:sz w:val="28"/>
          <w:szCs w:val="28"/>
          <w:lang w:val="en-US" w:eastAsia="zh-CN"/>
        </w:rPr>
        <w:t>5</w:t>
      </w:r>
      <w:r>
        <w:rPr>
          <w:rFonts w:ascii="黑体" w:hAnsi="黑体" w:eastAsia="黑体" w:cs="黑体"/>
          <w:spacing w:val="-1"/>
          <w:sz w:val="28"/>
          <w:szCs w:val="28"/>
        </w:rPr>
        <w:t>/18691799556</w:t>
      </w:r>
    </w:p>
    <w:p w14:paraId="2A1199EF">
      <w:pPr>
        <w:spacing w:before="1" w:line="234" w:lineRule="auto"/>
        <w:ind w:left="1544"/>
        <w:rPr>
          <w:rFonts w:ascii="黑体" w:hAnsi="黑体" w:eastAsia="黑体" w:cs="黑体"/>
          <w:sz w:val="28"/>
          <w:szCs w:val="28"/>
        </w:rPr>
      </w:pPr>
      <w:r>
        <w:rPr>
          <w:rFonts w:ascii="黑体" w:hAnsi="黑体" w:eastAsia="黑体" w:cs="黑体"/>
          <w:spacing w:val="-2"/>
          <w:sz w:val="28"/>
          <w:szCs w:val="28"/>
        </w:rPr>
        <w:t>邮箱：</w:t>
      </w:r>
      <w:r>
        <w:fldChar w:fldCharType="begin"/>
      </w:r>
      <w:r>
        <w:instrText xml:space="preserve"> HYPERLINK "mailto:bjgxrl@126.com" </w:instrText>
      </w:r>
      <w:r>
        <w:fldChar w:fldCharType="separate"/>
      </w:r>
      <w:r>
        <w:rPr>
          <w:rFonts w:ascii="黑体" w:hAnsi="黑体" w:eastAsia="黑体" w:cs="黑体"/>
          <w:spacing w:val="-2"/>
          <w:sz w:val="28"/>
          <w:szCs w:val="28"/>
        </w:rPr>
        <w:t>bjgxrl@126.com</w:t>
      </w:r>
      <w:r>
        <w:rPr>
          <w:rFonts w:ascii="黑体" w:hAnsi="黑体" w:eastAsia="黑体" w:cs="黑体"/>
          <w:spacing w:val="-2"/>
          <w:sz w:val="28"/>
          <w:szCs w:val="28"/>
        </w:rPr>
        <w:fldChar w:fldCharType="end"/>
      </w:r>
    </w:p>
    <w:p w14:paraId="448A60B7">
      <w:pPr>
        <w:spacing w:before="239" w:line="226" w:lineRule="auto"/>
        <w:ind w:left="3383"/>
        <w:rPr>
          <w:rFonts w:ascii="黑体" w:hAnsi="黑体" w:eastAsia="黑体" w:cs="黑体"/>
          <w:sz w:val="43"/>
          <w:szCs w:val="43"/>
        </w:rPr>
      </w:pPr>
      <w:r>
        <w:rPr>
          <w:rFonts w:ascii="黑体" w:hAnsi="黑体" w:eastAsia="黑体" w:cs="黑体"/>
          <w:b/>
          <w:bCs/>
          <w:color w:val="FF0000"/>
          <w:spacing w:val="2"/>
          <w:sz w:val="43"/>
          <w:szCs w:val="43"/>
        </w:rPr>
        <w:t>国企品牌</w:t>
      </w:r>
      <w:r>
        <w:rPr>
          <w:rFonts w:ascii="黑体" w:hAnsi="黑体" w:eastAsia="黑体" w:cs="黑体"/>
          <w:color w:val="FF0000"/>
          <w:spacing w:val="2"/>
          <w:sz w:val="43"/>
          <w:szCs w:val="43"/>
        </w:rPr>
        <w:t xml:space="preserve">  </w:t>
      </w:r>
      <w:r>
        <w:rPr>
          <w:rFonts w:ascii="黑体" w:hAnsi="黑体" w:eastAsia="黑体" w:cs="黑体"/>
          <w:b/>
          <w:bCs/>
          <w:color w:val="FF0000"/>
          <w:spacing w:val="2"/>
          <w:sz w:val="43"/>
          <w:szCs w:val="43"/>
        </w:rPr>
        <w:t>拥抱未来</w:t>
      </w:r>
    </w:p>
    <w:p w14:paraId="1F01CA37">
      <w:pPr>
        <w:spacing w:line="226" w:lineRule="auto"/>
        <w:rPr>
          <w:rFonts w:ascii="黑体" w:hAnsi="黑体" w:eastAsia="黑体" w:cs="黑体"/>
          <w:sz w:val="43"/>
          <w:szCs w:val="43"/>
        </w:rPr>
        <w:sectPr>
          <w:footerReference r:id="rId27" w:type="default"/>
          <w:pgSz w:w="10660" w:h="15081"/>
          <w:pgMar w:top="0" w:right="0" w:bottom="325" w:left="0" w:header="0" w:footer="0" w:gutter="0"/>
          <w:cols w:space="720" w:num="1"/>
        </w:sectPr>
      </w:pPr>
    </w:p>
    <w:p w14:paraId="77CFFC2D">
      <w:pPr>
        <w:spacing w:line="285" w:lineRule="auto"/>
        <w:rPr>
          <w:rFonts w:ascii="Arial"/>
          <w:sz w:val="21"/>
        </w:rPr>
      </w:pPr>
    </w:p>
    <w:p w14:paraId="46A707CC">
      <w:pPr>
        <w:spacing w:line="285" w:lineRule="auto"/>
        <w:rPr>
          <w:rFonts w:ascii="Arial"/>
          <w:sz w:val="21"/>
        </w:rPr>
      </w:pPr>
    </w:p>
    <w:p w14:paraId="2AACA45A">
      <w:pPr>
        <w:spacing w:line="286" w:lineRule="auto"/>
        <w:rPr>
          <w:rFonts w:ascii="Arial"/>
          <w:sz w:val="21"/>
        </w:rPr>
      </w:pPr>
    </w:p>
    <w:p w14:paraId="5A4751AA">
      <w:pPr>
        <w:spacing w:line="286" w:lineRule="auto"/>
        <w:rPr>
          <w:rFonts w:ascii="Arial"/>
          <w:sz w:val="21"/>
        </w:rPr>
      </w:pPr>
    </w:p>
    <w:p w14:paraId="1EDA4BA1">
      <w:pPr>
        <w:spacing w:line="293" w:lineRule="exact"/>
        <w:ind w:firstLine="6980"/>
      </w:pPr>
      <w:r>
        <w:rPr>
          <w:position w:val="-5"/>
        </w:rPr>
        <w:drawing>
          <wp:inline distT="0" distB="0" distL="0" distR="0">
            <wp:extent cx="1558290" cy="185420"/>
            <wp:effectExtent l="0" t="0" r="0" b="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47"/>
                    <a:stretch>
                      <a:fillRect/>
                    </a:stretch>
                  </pic:blipFill>
                  <pic:spPr>
                    <a:xfrm>
                      <a:off x="0" y="0"/>
                      <a:ext cx="1558369" cy="185928"/>
                    </a:xfrm>
                    <a:prstGeom prst="rect">
                      <a:avLst/>
                    </a:prstGeom>
                  </pic:spPr>
                </pic:pic>
              </a:graphicData>
            </a:graphic>
          </wp:inline>
        </w:drawing>
      </w:r>
    </w:p>
    <w:p w14:paraId="6E279C03">
      <w:pPr>
        <w:spacing w:line="258" w:lineRule="auto"/>
        <w:rPr>
          <w:rFonts w:ascii="Arial"/>
          <w:sz w:val="21"/>
        </w:rPr>
      </w:pPr>
    </w:p>
    <w:p w14:paraId="29572323">
      <w:pPr>
        <w:spacing w:line="258" w:lineRule="auto"/>
        <w:rPr>
          <w:rFonts w:ascii="Arial"/>
          <w:sz w:val="21"/>
        </w:rPr>
      </w:pPr>
    </w:p>
    <w:p w14:paraId="3C64FE03">
      <w:pPr>
        <w:spacing w:line="258" w:lineRule="auto"/>
        <w:rPr>
          <w:rFonts w:ascii="Arial"/>
          <w:sz w:val="21"/>
        </w:rPr>
      </w:pPr>
    </w:p>
    <w:p w14:paraId="4E4C15D0">
      <w:pPr>
        <w:spacing w:line="259" w:lineRule="auto"/>
        <w:rPr>
          <w:rFonts w:ascii="Arial"/>
          <w:sz w:val="21"/>
        </w:rPr>
      </w:pPr>
    </w:p>
    <w:p w14:paraId="5E2CD956">
      <w:pPr>
        <w:spacing w:line="259" w:lineRule="auto"/>
        <w:rPr>
          <w:rFonts w:ascii="Arial"/>
          <w:sz w:val="21"/>
        </w:rPr>
      </w:pPr>
    </w:p>
    <w:p w14:paraId="34471EC7">
      <w:pPr>
        <w:spacing w:line="259" w:lineRule="auto"/>
        <w:rPr>
          <w:rFonts w:ascii="Arial"/>
          <w:sz w:val="21"/>
        </w:rPr>
      </w:pPr>
    </w:p>
    <w:p w14:paraId="6D0C5954">
      <w:pPr>
        <w:pStyle w:val="2"/>
        <w:spacing w:before="158" w:line="187" w:lineRule="auto"/>
        <w:ind w:left="1320"/>
        <w:rPr>
          <w:sz w:val="37"/>
          <w:szCs w:val="37"/>
        </w:rPr>
      </w:pPr>
      <w:r>
        <w:rPr>
          <w:color w:val="231F20"/>
          <w:spacing w:val="9"/>
          <w:sz w:val="37"/>
          <w:szCs w:val="37"/>
        </w:rPr>
        <w:t>创造一种风险意识文化</w:t>
      </w:r>
    </w:p>
    <w:p w14:paraId="0E985AEB">
      <w:pPr>
        <w:spacing w:before="89" w:line="279" w:lineRule="exact"/>
        <w:ind w:firstLine="1303"/>
      </w:pPr>
      <w:r>
        <w:rPr>
          <w:position w:val="-5"/>
        </w:rPr>
        <w:drawing>
          <wp:inline distT="0" distB="0" distL="0" distR="0">
            <wp:extent cx="1080135" cy="176530"/>
            <wp:effectExtent l="0" t="0" r="0" b="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53"/>
                    <a:stretch>
                      <a:fillRect/>
                    </a:stretch>
                  </pic:blipFill>
                  <pic:spPr>
                    <a:xfrm>
                      <a:off x="0" y="0"/>
                      <a:ext cx="1080515" cy="176910"/>
                    </a:xfrm>
                    <a:prstGeom prst="rect">
                      <a:avLst/>
                    </a:prstGeom>
                  </pic:spPr>
                </pic:pic>
              </a:graphicData>
            </a:graphic>
          </wp:inline>
        </w:drawing>
      </w:r>
    </w:p>
    <w:p w14:paraId="20D8DF8F">
      <w:pPr>
        <w:spacing w:line="256" w:lineRule="auto"/>
        <w:rPr>
          <w:rFonts w:ascii="Arial"/>
          <w:sz w:val="21"/>
        </w:rPr>
      </w:pPr>
    </w:p>
    <w:p w14:paraId="04183928">
      <w:pPr>
        <w:spacing w:line="257" w:lineRule="auto"/>
        <w:rPr>
          <w:rFonts w:ascii="Arial"/>
          <w:sz w:val="21"/>
        </w:rPr>
      </w:pPr>
    </w:p>
    <w:p w14:paraId="330537F0">
      <w:pPr>
        <w:pStyle w:val="2"/>
        <w:spacing w:before="103" w:line="182" w:lineRule="auto"/>
        <w:ind w:left="1313"/>
        <w:rPr>
          <w:sz w:val="24"/>
          <w:szCs w:val="24"/>
        </w:rPr>
      </w:pPr>
      <w:r>
        <w:rPr>
          <w:color w:val="231F20"/>
          <w:spacing w:val="-3"/>
          <w:sz w:val="24"/>
          <w:szCs w:val="24"/>
        </w:rPr>
        <w:t>关 于 GARP</w:t>
      </w:r>
    </w:p>
    <w:p w14:paraId="2546DE4F">
      <w:pPr>
        <w:pStyle w:val="2"/>
        <w:spacing w:before="64" w:line="207" w:lineRule="auto"/>
        <w:ind w:left="1309" w:right="1142" w:firstLine="483"/>
        <w:rPr>
          <w:sz w:val="22"/>
          <w:szCs w:val="22"/>
        </w:rPr>
      </w:pPr>
      <w:r>
        <w:rPr>
          <w:color w:val="231F20"/>
          <w:spacing w:val="8"/>
          <w:sz w:val="22"/>
          <w:szCs w:val="22"/>
        </w:rPr>
        <w:t>全球风险管理专业人士协会（</w:t>
      </w:r>
      <w:r>
        <w:rPr>
          <w:color w:val="231F20"/>
          <w:spacing w:val="-8"/>
          <w:sz w:val="22"/>
          <w:szCs w:val="22"/>
        </w:rPr>
        <w:t xml:space="preserve"> </w:t>
      </w:r>
      <w:r>
        <w:rPr>
          <w:color w:val="231F20"/>
          <w:sz w:val="22"/>
          <w:szCs w:val="22"/>
        </w:rPr>
        <w:t>GARP</w:t>
      </w:r>
      <w:r>
        <w:rPr>
          <w:color w:val="231F20"/>
          <w:spacing w:val="8"/>
          <w:sz w:val="22"/>
          <w:szCs w:val="22"/>
        </w:rPr>
        <w:t>）是一个致力于提高风险管理水平的无党</w:t>
      </w:r>
      <w:r>
        <w:rPr>
          <w:color w:val="231F20"/>
          <w:sz w:val="22"/>
          <w:szCs w:val="22"/>
        </w:rPr>
        <w:t xml:space="preserve"> </w:t>
      </w:r>
      <w:r>
        <w:rPr>
          <w:color w:val="231F20"/>
          <w:spacing w:val="6"/>
          <w:sz w:val="22"/>
          <w:szCs w:val="22"/>
        </w:rPr>
        <w:t>派</w:t>
      </w:r>
      <w:r>
        <w:rPr>
          <w:rFonts w:hint="eastAsia"/>
          <w:color w:val="231F20"/>
          <w:spacing w:val="6"/>
          <w:sz w:val="22"/>
          <w:szCs w:val="22"/>
          <w:lang w:eastAsia="zh-CN"/>
        </w:rPr>
        <w:t>、非营利</w:t>
      </w:r>
      <w:r>
        <w:rPr>
          <w:color w:val="231F20"/>
          <w:spacing w:val="6"/>
          <w:sz w:val="22"/>
          <w:szCs w:val="22"/>
        </w:rPr>
        <w:t>组织。</w:t>
      </w:r>
      <w:r>
        <w:rPr>
          <w:color w:val="231F20"/>
          <w:spacing w:val="-34"/>
          <w:sz w:val="22"/>
          <w:szCs w:val="22"/>
        </w:rPr>
        <w:t xml:space="preserve"> </w:t>
      </w:r>
      <w:r>
        <w:rPr>
          <w:color w:val="231F20"/>
          <w:sz w:val="22"/>
          <w:szCs w:val="22"/>
        </w:rPr>
        <w:t>GARP</w:t>
      </w:r>
      <w:r>
        <w:rPr>
          <w:color w:val="231F20"/>
          <w:spacing w:val="6"/>
          <w:sz w:val="22"/>
          <w:szCs w:val="22"/>
        </w:rPr>
        <w:t>提供风险管理证书</w:t>
      </w:r>
      <w:r>
        <w:rPr>
          <w:color w:val="231F20"/>
          <w:spacing w:val="-22"/>
          <w:sz w:val="22"/>
          <w:szCs w:val="22"/>
        </w:rPr>
        <w:t xml:space="preserve"> </w:t>
      </w:r>
      <w:r>
        <w:rPr>
          <w:color w:val="231F20"/>
          <w:spacing w:val="6"/>
          <w:sz w:val="22"/>
          <w:szCs w:val="22"/>
        </w:rPr>
        <w:t>，包括金融风险管理师（</w:t>
      </w:r>
      <w:r>
        <w:rPr>
          <w:color w:val="231F20"/>
          <w:spacing w:val="-12"/>
          <w:sz w:val="22"/>
          <w:szCs w:val="22"/>
        </w:rPr>
        <w:t xml:space="preserve"> </w:t>
      </w:r>
      <w:r>
        <w:rPr>
          <w:color w:val="231F20"/>
          <w:sz w:val="22"/>
          <w:szCs w:val="22"/>
        </w:rPr>
        <w:t>FRM</w:t>
      </w:r>
      <w:r>
        <w:rPr>
          <w:color w:val="231F20"/>
          <w:spacing w:val="6"/>
          <w:sz w:val="22"/>
          <w:szCs w:val="22"/>
        </w:rPr>
        <w:t>）认证、</w:t>
      </w:r>
      <w:r>
        <w:rPr>
          <w:color w:val="231F20"/>
          <w:sz w:val="22"/>
          <w:szCs w:val="22"/>
        </w:rPr>
        <w:t xml:space="preserve"> </w:t>
      </w:r>
      <w:r>
        <w:rPr>
          <w:color w:val="231F20"/>
          <w:spacing w:val="8"/>
          <w:sz w:val="22"/>
          <w:szCs w:val="22"/>
        </w:rPr>
        <w:t>金融风险与监管（</w:t>
      </w:r>
      <w:r>
        <w:rPr>
          <w:color w:val="231F20"/>
          <w:spacing w:val="-11"/>
          <w:sz w:val="22"/>
          <w:szCs w:val="22"/>
        </w:rPr>
        <w:t xml:space="preserve"> </w:t>
      </w:r>
      <w:r>
        <w:rPr>
          <w:color w:val="231F20"/>
          <w:sz w:val="22"/>
          <w:szCs w:val="22"/>
        </w:rPr>
        <w:t>FRR</w:t>
      </w:r>
      <w:r>
        <w:rPr>
          <w:color w:val="231F20"/>
          <w:spacing w:val="8"/>
          <w:sz w:val="22"/>
          <w:szCs w:val="22"/>
        </w:rPr>
        <w:t>）证书和金融风险基础（</w:t>
      </w:r>
      <w:r>
        <w:rPr>
          <w:color w:val="231F20"/>
          <w:spacing w:val="-12"/>
          <w:sz w:val="22"/>
          <w:szCs w:val="22"/>
        </w:rPr>
        <w:t xml:space="preserve"> </w:t>
      </w:r>
      <w:r>
        <w:rPr>
          <w:color w:val="231F20"/>
          <w:sz w:val="22"/>
          <w:szCs w:val="22"/>
        </w:rPr>
        <w:t>FFR</w:t>
      </w:r>
      <w:r>
        <w:rPr>
          <w:color w:val="231F20"/>
          <w:spacing w:val="8"/>
          <w:sz w:val="22"/>
          <w:szCs w:val="22"/>
        </w:rPr>
        <w:t>）证书，</w:t>
      </w:r>
      <w:r>
        <w:rPr>
          <w:color w:val="231F20"/>
          <w:spacing w:val="-44"/>
          <w:sz w:val="22"/>
          <w:szCs w:val="22"/>
        </w:rPr>
        <w:t xml:space="preserve"> </w:t>
      </w:r>
      <w:r>
        <w:rPr>
          <w:color w:val="231F20"/>
          <w:spacing w:val="8"/>
          <w:sz w:val="22"/>
          <w:szCs w:val="22"/>
        </w:rPr>
        <w:t>为各级金融风险管理</w:t>
      </w:r>
      <w:r>
        <w:rPr>
          <w:color w:val="231F20"/>
          <w:sz w:val="22"/>
          <w:szCs w:val="22"/>
        </w:rPr>
        <w:t xml:space="preserve"> </w:t>
      </w:r>
      <w:r>
        <w:rPr>
          <w:color w:val="231F20"/>
          <w:spacing w:val="10"/>
          <w:sz w:val="22"/>
          <w:szCs w:val="22"/>
        </w:rPr>
        <w:t>者提供专业知识；</w:t>
      </w:r>
      <w:r>
        <w:rPr>
          <w:color w:val="231F20"/>
          <w:spacing w:val="-18"/>
          <w:sz w:val="22"/>
          <w:szCs w:val="22"/>
        </w:rPr>
        <w:t xml:space="preserve"> </w:t>
      </w:r>
      <w:r>
        <w:rPr>
          <w:color w:val="231F20"/>
          <w:sz w:val="22"/>
          <w:szCs w:val="22"/>
        </w:rPr>
        <w:t>GARP</w:t>
      </w:r>
      <w:r>
        <w:rPr>
          <w:color w:val="231F20"/>
          <w:spacing w:val="10"/>
          <w:sz w:val="22"/>
          <w:szCs w:val="22"/>
        </w:rPr>
        <w:t>也提供可持续性与气候风险（</w:t>
      </w:r>
      <w:r>
        <w:rPr>
          <w:color w:val="231F20"/>
          <w:spacing w:val="-17"/>
          <w:sz w:val="22"/>
          <w:szCs w:val="22"/>
        </w:rPr>
        <w:t xml:space="preserve"> </w:t>
      </w:r>
      <w:r>
        <w:rPr>
          <w:color w:val="231F20"/>
          <w:sz w:val="22"/>
          <w:szCs w:val="22"/>
        </w:rPr>
        <w:t>SCR</w:t>
      </w:r>
      <w:r>
        <w:rPr>
          <w:color w:val="231F20"/>
          <w:spacing w:val="10"/>
          <w:sz w:val="22"/>
          <w:szCs w:val="22"/>
        </w:rPr>
        <w:t>）证书</w:t>
      </w:r>
      <w:r>
        <w:rPr>
          <w:color w:val="231F20"/>
          <w:spacing w:val="-36"/>
          <w:sz w:val="22"/>
          <w:szCs w:val="22"/>
        </w:rPr>
        <w:t xml:space="preserve"> </w:t>
      </w:r>
      <w:r>
        <w:rPr>
          <w:color w:val="231F20"/>
          <w:spacing w:val="10"/>
          <w:sz w:val="22"/>
          <w:szCs w:val="22"/>
        </w:rPr>
        <w:t>。</w:t>
      </w:r>
      <w:r>
        <w:rPr>
          <w:color w:val="231F20"/>
          <w:spacing w:val="-40"/>
          <w:sz w:val="22"/>
          <w:szCs w:val="22"/>
        </w:rPr>
        <w:t xml:space="preserve"> </w:t>
      </w:r>
      <w:r>
        <w:rPr>
          <w:color w:val="231F20"/>
          <w:sz w:val="22"/>
          <w:szCs w:val="22"/>
        </w:rPr>
        <w:t>GARP</w:t>
      </w:r>
      <w:r>
        <w:rPr>
          <w:color w:val="231F20"/>
          <w:spacing w:val="10"/>
          <w:sz w:val="22"/>
          <w:szCs w:val="22"/>
        </w:rPr>
        <w:t>还通过</w:t>
      </w:r>
      <w:r>
        <w:rPr>
          <w:color w:val="231F20"/>
          <w:sz w:val="22"/>
          <w:szCs w:val="22"/>
        </w:rPr>
        <w:t xml:space="preserve"> </w:t>
      </w:r>
      <w:r>
        <w:rPr>
          <w:color w:val="231F20"/>
          <w:spacing w:val="12"/>
          <w:sz w:val="22"/>
          <w:szCs w:val="22"/>
        </w:rPr>
        <w:t>持续教育发展项目提供持续教育机会。通过</w:t>
      </w:r>
      <w:r>
        <w:rPr>
          <w:color w:val="231F20"/>
          <w:sz w:val="22"/>
          <w:szCs w:val="22"/>
        </w:rPr>
        <w:t>GARP</w:t>
      </w:r>
      <w:r>
        <w:rPr>
          <w:color w:val="231F20"/>
          <w:spacing w:val="12"/>
          <w:sz w:val="22"/>
          <w:szCs w:val="22"/>
        </w:rPr>
        <w:t>基准项目和</w:t>
      </w:r>
      <w:r>
        <w:rPr>
          <w:color w:val="231F20"/>
          <w:sz w:val="22"/>
          <w:szCs w:val="22"/>
        </w:rPr>
        <w:t>GARP</w:t>
      </w:r>
      <w:r>
        <w:rPr>
          <w:color w:val="231F20"/>
          <w:spacing w:val="12"/>
          <w:sz w:val="22"/>
          <w:szCs w:val="22"/>
        </w:rPr>
        <w:t>风险研究院</w:t>
      </w:r>
      <w:r>
        <w:rPr>
          <w:color w:val="231F20"/>
          <w:spacing w:val="-13"/>
          <w:sz w:val="22"/>
          <w:szCs w:val="22"/>
        </w:rPr>
        <w:t xml:space="preserve"> </w:t>
      </w:r>
      <w:r>
        <w:rPr>
          <w:color w:val="231F20"/>
          <w:spacing w:val="12"/>
          <w:sz w:val="22"/>
          <w:szCs w:val="22"/>
        </w:rPr>
        <w:t>，</w:t>
      </w:r>
      <w:r>
        <w:rPr>
          <w:color w:val="231F20"/>
          <w:sz w:val="22"/>
          <w:szCs w:val="22"/>
        </w:rPr>
        <w:t xml:space="preserve"> GARP赞助风险管理研究</w:t>
      </w:r>
      <w:r>
        <w:rPr>
          <w:color w:val="231F20"/>
          <w:spacing w:val="-16"/>
          <w:sz w:val="22"/>
          <w:szCs w:val="22"/>
        </w:rPr>
        <w:t xml:space="preserve"> </w:t>
      </w:r>
      <w:r>
        <w:rPr>
          <w:color w:val="231F20"/>
          <w:sz w:val="22"/>
          <w:szCs w:val="22"/>
        </w:rPr>
        <w:t>，并促进从业者、学者和监管机构之间的合作。</w:t>
      </w:r>
    </w:p>
    <w:p w14:paraId="5D45230B">
      <w:pPr>
        <w:pStyle w:val="2"/>
        <w:spacing w:before="52" w:line="219" w:lineRule="auto"/>
        <w:ind w:left="1312" w:right="1179" w:firstLine="488"/>
        <w:rPr>
          <w:sz w:val="22"/>
          <w:szCs w:val="22"/>
        </w:rPr>
      </w:pPr>
      <w:r>
        <w:rPr>
          <w:color w:val="231F20"/>
          <w:sz w:val="22"/>
          <w:szCs w:val="22"/>
        </w:rPr>
        <w:t>GARP</w:t>
      </w:r>
      <w:r>
        <w:rPr>
          <w:color w:val="231F20"/>
          <w:spacing w:val="3"/>
          <w:sz w:val="22"/>
          <w:szCs w:val="22"/>
        </w:rPr>
        <w:t>成立于1996年并由理事会管理</w:t>
      </w:r>
      <w:r>
        <w:rPr>
          <w:color w:val="231F20"/>
          <w:spacing w:val="-16"/>
          <w:sz w:val="22"/>
          <w:szCs w:val="22"/>
        </w:rPr>
        <w:t xml:space="preserve"> </w:t>
      </w:r>
      <w:r>
        <w:rPr>
          <w:color w:val="231F20"/>
          <w:spacing w:val="3"/>
          <w:sz w:val="22"/>
          <w:szCs w:val="22"/>
        </w:rPr>
        <w:t>，</w:t>
      </w:r>
      <w:r>
        <w:rPr>
          <w:color w:val="231F20"/>
          <w:sz w:val="22"/>
          <w:szCs w:val="22"/>
        </w:rPr>
        <w:t>GARP</w:t>
      </w:r>
      <w:r>
        <w:rPr>
          <w:color w:val="231F20"/>
          <w:spacing w:val="43"/>
          <w:sz w:val="22"/>
          <w:szCs w:val="22"/>
        </w:rPr>
        <w:t xml:space="preserve"> </w:t>
      </w:r>
      <w:r>
        <w:rPr>
          <w:color w:val="231F20"/>
          <w:spacing w:val="3"/>
          <w:sz w:val="22"/>
          <w:szCs w:val="22"/>
        </w:rPr>
        <w:t>总部位于美国新泽西州泽西市，</w:t>
      </w:r>
      <w:r>
        <w:rPr>
          <w:color w:val="231F20"/>
          <w:sz w:val="22"/>
          <w:szCs w:val="22"/>
        </w:rPr>
        <w:t xml:space="preserve"> </w:t>
      </w:r>
      <w:r>
        <w:rPr>
          <w:color w:val="231F20"/>
          <w:spacing w:val="1"/>
          <w:sz w:val="22"/>
          <w:szCs w:val="22"/>
        </w:rPr>
        <w:t>并在 伦敦、华盛顿特区、北京以及香港设立办事处。</w:t>
      </w:r>
    </w:p>
    <w:p w14:paraId="5E8C22F4">
      <w:pPr>
        <w:spacing w:before="200"/>
      </w:pPr>
    </w:p>
    <w:p w14:paraId="2C51C646">
      <w:pPr>
        <w:sectPr>
          <w:headerReference r:id="rId28" w:type="default"/>
          <w:footerReference r:id="rId29" w:type="default"/>
          <w:pgSz w:w="10660" w:h="15081"/>
          <w:pgMar w:top="0" w:right="0" w:bottom="325" w:left="0" w:header="0" w:footer="0" w:gutter="0"/>
          <w:cols w:equalWidth="0" w:num="1">
            <w:col w:w="10659"/>
          </w:cols>
        </w:sectPr>
      </w:pPr>
    </w:p>
    <w:p w14:paraId="73334DD7">
      <w:pPr>
        <w:pStyle w:val="2"/>
        <w:spacing w:before="54" w:line="182" w:lineRule="auto"/>
        <w:ind w:left="1309"/>
        <w:rPr>
          <w:sz w:val="28"/>
          <w:szCs w:val="28"/>
        </w:rPr>
      </w:pPr>
      <w:r>
        <w:rPr>
          <w:color w:val="7F7F7F"/>
          <w:spacing w:val="-1"/>
          <w:sz w:val="28"/>
          <w:szCs w:val="28"/>
        </w:rPr>
        <w:t>地址</w:t>
      </w:r>
    </w:p>
    <w:p w14:paraId="66DD1544">
      <w:pPr>
        <w:pStyle w:val="2"/>
        <w:spacing w:before="302" w:line="190" w:lineRule="auto"/>
        <w:ind w:left="1311"/>
        <w:rPr>
          <w:rFonts w:hint="eastAsia" w:eastAsia="微软雅黑"/>
          <w:lang w:eastAsia="zh-CN"/>
        </w:rPr>
      </w:pPr>
      <w:r>
        <w:rPr>
          <w:color w:val="16A0DB"/>
          <w:spacing w:val="7"/>
        </w:rPr>
        <w:t>美国总部</w:t>
      </w:r>
    </w:p>
    <w:p w14:paraId="3592AC0D">
      <w:pPr>
        <w:pStyle w:val="2"/>
        <w:spacing w:before="121" w:line="207" w:lineRule="auto"/>
        <w:ind w:left="1309" w:right="2290" w:firstLine="4"/>
      </w:pPr>
      <w:r>
        <w:rPr>
          <w:color w:val="231F20"/>
          <w:spacing w:val="8"/>
        </w:rPr>
        <w:t>美国新泽西州泽西市</w:t>
      </w:r>
      <w:r>
        <w:rPr>
          <w:color w:val="231F20"/>
          <w:spacing w:val="5"/>
        </w:rPr>
        <w:t xml:space="preserve"> </w:t>
      </w:r>
      <w:r>
        <w:rPr>
          <w:color w:val="231F20"/>
          <w:spacing w:val="8"/>
        </w:rPr>
        <w:t>城市广场111号14楼</w:t>
      </w:r>
    </w:p>
    <w:p w14:paraId="0C72475C">
      <w:pPr>
        <w:pStyle w:val="2"/>
        <w:spacing w:before="1" w:line="223" w:lineRule="auto"/>
        <w:ind w:left="1334"/>
      </w:pPr>
      <w:r>
        <w:rPr>
          <w:color w:val="231F20"/>
        </w:rPr>
        <w:t>邮编</w:t>
      </w:r>
      <w:r>
        <w:rPr>
          <w:color w:val="231F20"/>
          <w:spacing w:val="-18"/>
        </w:rPr>
        <w:t xml:space="preserve"> </w:t>
      </w:r>
      <w:r>
        <w:rPr>
          <w:color w:val="231F20"/>
        </w:rPr>
        <w:t>：07310</w:t>
      </w:r>
    </w:p>
    <w:p w14:paraId="3004C3FD">
      <w:pPr>
        <w:pStyle w:val="2"/>
        <w:spacing w:line="234" w:lineRule="auto"/>
        <w:ind w:left="1333"/>
      </w:pPr>
      <w:r>
        <w:rPr>
          <w:color w:val="231F20"/>
          <w:spacing w:val="1"/>
        </w:rPr>
        <w:t>电话：</w:t>
      </w:r>
      <w:r>
        <w:rPr>
          <w:color w:val="231F20"/>
          <w:spacing w:val="-24"/>
        </w:rPr>
        <w:t xml:space="preserve"> </w:t>
      </w:r>
      <w:r>
        <w:rPr>
          <w:color w:val="231F20"/>
          <w:spacing w:val="1"/>
        </w:rPr>
        <w:t>+</w:t>
      </w:r>
      <w:r>
        <w:rPr>
          <w:color w:val="231F20"/>
          <w:spacing w:val="53"/>
        </w:rPr>
        <w:t xml:space="preserve"> </w:t>
      </w:r>
      <w:r>
        <w:rPr>
          <w:color w:val="231F20"/>
          <w:spacing w:val="1"/>
        </w:rPr>
        <w:t>1</w:t>
      </w:r>
      <w:r>
        <w:rPr>
          <w:color w:val="231F20"/>
          <w:spacing w:val="17"/>
          <w:w w:val="101"/>
        </w:rPr>
        <w:t xml:space="preserve"> </w:t>
      </w:r>
      <w:r>
        <w:rPr>
          <w:color w:val="231F20"/>
          <w:spacing w:val="1"/>
        </w:rPr>
        <w:t>201.719.7210</w:t>
      </w:r>
    </w:p>
    <w:p w14:paraId="24EC69BF">
      <w:pPr>
        <w:pStyle w:val="2"/>
        <w:spacing w:before="175" w:line="189" w:lineRule="auto"/>
        <w:ind w:left="1310"/>
      </w:pPr>
      <w:r>
        <w:rPr>
          <w:color w:val="16A0DB"/>
          <w:spacing w:val="7"/>
        </w:rPr>
        <w:t>英国伦敦</w:t>
      </w:r>
    </w:p>
    <w:p w14:paraId="6FE306D1">
      <w:pPr>
        <w:pStyle w:val="2"/>
        <w:spacing w:before="111" w:line="189" w:lineRule="auto"/>
        <w:ind w:left="1313"/>
        <w:rPr>
          <w:rFonts w:hint="eastAsia" w:eastAsia="微软雅黑"/>
          <w:lang w:eastAsia="zh-CN"/>
        </w:rPr>
      </w:pPr>
      <w:r>
        <w:rPr>
          <w:color w:val="231F20"/>
          <w:spacing w:val="7"/>
        </w:rPr>
        <w:t>英国伦敦</w:t>
      </w:r>
    </w:p>
    <w:p w14:paraId="60F227E7">
      <w:pPr>
        <w:pStyle w:val="2"/>
        <w:spacing w:before="21" w:line="217" w:lineRule="auto"/>
        <w:ind w:left="1310"/>
      </w:pPr>
      <w:r>
        <w:rPr>
          <w:color w:val="231F20"/>
          <w:spacing w:val="8"/>
        </w:rPr>
        <w:t>德文郡广场17号4楼</w:t>
      </w:r>
    </w:p>
    <w:p w14:paraId="7839B9F5">
      <w:pPr>
        <w:pStyle w:val="2"/>
        <w:spacing w:before="1" w:line="219" w:lineRule="auto"/>
        <w:ind w:left="1334"/>
      </w:pPr>
      <w:r>
        <w:rPr>
          <w:color w:val="231F20"/>
          <w:spacing w:val="-5"/>
        </w:rPr>
        <w:t>邮编：  EC2M4SQ</w:t>
      </w:r>
      <w:bookmarkStart w:id="0" w:name="_GoBack"/>
      <w:bookmarkEnd w:id="0"/>
    </w:p>
    <w:p w14:paraId="07464454">
      <w:pPr>
        <w:pStyle w:val="2"/>
        <w:spacing w:before="1" w:line="188" w:lineRule="auto"/>
        <w:ind w:left="1333"/>
      </w:pPr>
      <w:r>
        <w:rPr>
          <w:color w:val="231F20"/>
          <w:spacing w:val="4"/>
        </w:rPr>
        <w:t>电话：</w:t>
      </w:r>
      <w:r>
        <w:rPr>
          <w:color w:val="231F20"/>
          <w:spacing w:val="-9"/>
        </w:rPr>
        <w:t xml:space="preserve"> </w:t>
      </w:r>
      <w:r>
        <w:rPr>
          <w:color w:val="231F20"/>
          <w:spacing w:val="4"/>
        </w:rPr>
        <w:t>+ 44（0）</w:t>
      </w:r>
      <w:r>
        <w:rPr>
          <w:color w:val="231F20"/>
          <w:spacing w:val="-33"/>
        </w:rPr>
        <w:t xml:space="preserve"> </w:t>
      </w:r>
      <w:r>
        <w:rPr>
          <w:color w:val="231F20"/>
          <w:spacing w:val="4"/>
        </w:rPr>
        <w:t>20.7397.9630</w:t>
      </w:r>
    </w:p>
    <w:p w14:paraId="7B2CDD32">
      <w:pPr>
        <w:spacing w:line="14" w:lineRule="auto"/>
        <w:rPr>
          <w:rFonts w:ascii="Arial"/>
          <w:sz w:val="2"/>
        </w:rPr>
      </w:pPr>
      <w:r>
        <w:rPr>
          <w:rFonts w:ascii="Arial" w:hAnsi="Arial" w:eastAsia="Arial" w:cs="Arial"/>
          <w:sz w:val="2"/>
          <w:szCs w:val="2"/>
        </w:rPr>
        <w:br w:type="column"/>
      </w:r>
    </w:p>
    <w:p w14:paraId="06A53607">
      <w:pPr>
        <w:spacing w:line="347" w:lineRule="auto"/>
        <w:rPr>
          <w:rFonts w:ascii="Arial"/>
          <w:sz w:val="21"/>
        </w:rPr>
      </w:pPr>
    </w:p>
    <w:p w14:paraId="033D9C9F">
      <w:pPr>
        <w:spacing w:line="347" w:lineRule="auto"/>
        <w:rPr>
          <w:rFonts w:ascii="Arial"/>
          <w:sz w:val="21"/>
        </w:rPr>
      </w:pPr>
    </w:p>
    <w:p w14:paraId="0647281B">
      <w:pPr>
        <w:pStyle w:val="2"/>
        <w:spacing w:before="87" w:line="189" w:lineRule="auto"/>
        <w:ind w:left="23"/>
      </w:pPr>
      <w:r>
        <w:rPr>
          <w:color w:val="16A0DB"/>
          <w:spacing w:val="2"/>
        </w:rPr>
        <w:t>中国香港</w:t>
      </w:r>
    </w:p>
    <w:p w14:paraId="7B2B9886">
      <w:pPr>
        <w:pStyle w:val="2"/>
        <w:spacing w:before="111" w:line="189" w:lineRule="auto"/>
      </w:pPr>
      <w:r>
        <w:rPr>
          <w:color w:val="231F20"/>
          <w:spacing w:val="7"/>
        </w:rPr>
        <w:t>香港中环</w:t>
      </w:r>
    </w:p>
    <w:p w14:paraId="0FE6537F">
      <w:pPr>
        <w:pStyle w:val="2"/>
        <w:spacing w:before="21" w:line="221" w:lineRule="auto"/>
        <w:ind w:left="25" w:right="3532" w:hanging="21"/>
      </w:pPr>
      <w:r>
        <w:rPr>
          <w:color w:val="231F20"/>
          <w:spacing w:val="7"/>
        </w:rPr>
        <w:t>皇后大道中99号</w:t>
      </w:r>
      <w:r>
        <w:rPr>
          <w:color w:val="231F20"/>
        </w:rPr>
        <w:t xml:space="preserve">  </w:t>
      </w:r>
      <w:r>
        <w:rPr>
          <w:color w:val="231F20"/>
          <w:spacing w:val="5"/>
        </w:rPr>
        <w:t>中环中心5510室</w:t>
      </w:r>
    </w:p>
    <w:p w14:paraId="314B2CEF">
      <w:pPr>
        <w:pStyle w:val="2"/>
        <w:spacing w:before="1" w:line="234" w:lineRule="auto"/>
        <w:ind w:left="19"/>
        <w:rPr>
          <w:color w:val="231F20"/>
          <w:spacing w:val="2"/>
        </w:rPr>
      </w:pPr>
      <w:r>
        <w:rPr>
          <w:color w:val="231F20"/>
          <w:spacing w:val="2"/>
        </w:rPr>
        <w:t>电话：</w:t>
      </w:r>
      <w:r>
        <w:rPr>
          <w:color w:val="231F20"/>
          <w:spacing w:val="-21"/>
        </w:rPr>
        <w:t xml:space="preserve"> </w:t>
      </w:r>
      <w:r>
        <w:rPr>
          <w:color w:val="231F20"/>
          <w:spacing w:val="2"/>
        </w:rPr>
        <w:t>+852</w:t>
      </w:r>
      <w:r>
        <w:rPr>
          <w:color w:val="231F20"/>
          <w:spacing w:val="21"/>
        </w:rPr>
        <w:t xml:space="preserve"> </w:t>
      </w:r>
      <w:r>
        <w:rPr>
          <w:color w:val="231F20"/>
          <w:spacing w:val="2"/>
        </w:rPr>
        <w:t>3168.1532</w:t>
      </w:r>
    </w:p>
    <w:p w14:paraId="1BC1FCAB">
      <w:pPr>
        <w:pStyle w:val="2"/>
        <w:spacing w:before="1" w:line="234" w:lineRule="auto"/>
        <w:ind w:left="19"/>
        <w:rPr>
          <w:rFonts w:hint="default"/>
          <w:color w:val="231F20"/>
          <w:spacing w:val="2"/>
          <w:lang w:val="en-US" w:eastAsia="zh-CN"/>
        </w:rPr>
      </w:pPr>
    </w:p>
    <w:sectPr>
      <w:type w:val="continuous"/>
      <w:pgSz w:w="10660" w:h="15081"/>
      <w:pgMar w:top="0" w:right="0" w:bottom="325" w:left="0" w:header="0" w:footer="0" w:gutter="0"/>
      <w:cols w:equalWidth="0" w:num="2">
        <w:col w:w="5483" w:space="100"/>
        <w:col w:w="5076"/>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D00A04">
    <w:pPr>
      <w:spacing w:line="14" w:lineRule="auto"/>
      <w:rPr>
        <w:rFonts w:ascii="Arial"/>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413B72">
    <w:pPr>
      <w:pStyle w:val="2"/>
      <w:spacing w:before="57" w:line="201" w:lineRule="auto"/>
      <w:ind w:left="741"/>
      <w:rPr>
        <w:sz w:val="18"/>
        <w:szCs w:val="18"/>
      </w:rPr>
    </w:pPr>
    <w:r>
      <w:pict>
        <v:shape id="_x0000_s2056" o:spid="_x0000_s2056" o:spt="202" type="#_x0000_t202" style="position:absolute;left:0pt;margin-left:343.1pt;margin-top:1.85pt;height:17.65pt;width:67.4pt;z-index:251673600;mso-width-relative:page;mso-height-relative:page;" filled="f" stroked="f" coordsize="21600,21600">
          <v:path/>
          <v:fill on="f" focussize="0,0"/>
          <v:stroke on="f"/>
          <v:imagedata o:title=""/>
          <o:lock v:ext="edit" aspectratio="f"/>
          <v:textbox inset="0mm,0mm,0mm,0mm">
            <w:txbxContent>
              <w:p w14:paraId="357E9865">
                <w:pPr>
                  <w:pStyle w:val="2"/>
                  <w:spacing w:before="20" w:line="312" w:lineRule="exact"/>
                  <w:rPr>
                    <w:sz w:val="18"/>
                    <w:szCs w:val="18"/>
                  </w:rPr>
                </w:pPr>
              </w:p>
            </w:txbxContent>
          </v:textbox>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B75CAA">
    <w:pPr>
      <w:pStyle w:val="2"/>
      <w:spacing w:before="57" w:line="201" w:lineRule="auto"/>
      <w:ind w:left="741"/>
      <w:rPr>
        <w:sz w:val="18"/>
        <w:szCs w:val="18"/>
      </w:rPr>
    </w:pPr>
    <w:r>
      <w:pict>
        <v:shape id="_x0000_s2057" o:spid="_x0000_s2057" o:spt="202" type="#_x0000_t202" style="position:absolute;left:0pt;margin-left:343.1pt;margin-top:1.85pt;height:17.65pt;width:67.4pt;z-index:251675648;mso-width-relative:page;mso-height-relative:page;" filled="f" stroked="f" coordsize="21600,21600">
          <v:path/>
          <v:fill on="f" focussize="0,0"/>
          <v:stroke on="f"/>
          <v:imagedata o:title=""/>
          <o:lock v:ext="edit" aspectratio="f"/>
          <v:textbox inset="0mm,0mm,0mm,0mm">
            <w:txbxContent>
              <w:p w14:paraId="4DB0A832">
                <w:pPr>
                  <w:pStyle w:val="2"/>
                  <w:spacing w:before="20" w:line="312" w:lineRule="exact"/>
                  <w:ind w:left="20"/>
                  <w:rPr>
                    <w:sz w:val="18"/>
                    <w:szCs w:val="18"/>
                  </w:rPr>
                </w:pPr>
              </w:p>
            </w:txbxContent>
          </v:textbox>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B346D7">
    <w:pPr>
      <w:pStyle w:val="2"/>
      <w:spacing w:before="57" w:line="201" w:lineRule="auto"/>
      <w:ind w:left="741"/>
      <w:rPr>
        <w:sz w:val="18"/>
        <w:szCs w:val="18"/>
      </w:rPr>
    </w:pPr>
    <w:r>
      <w:pict>
        <v:shape id="_x0000_s2058" o:spid="_x0000_s2058" o:spt="202" type="#_x0000_t202" style="position:absolute;left:0pt;margin-left:343.1pt;margin-top:1.85pt;height:17.65pt;width:67.4pt;z-index:251676672;mso-width-relative:page;mso-height-relative:page;" filled="f" stroked="f" coordsize="21600,21600">
          <v:path/>
          <v:fill on="f" focussize="0,0"/>
          <v:stroke on="f"/>
          <v:imagedata o:title=""/>
          <o:lock v:ext="edit" aspectratio="f"/>
          <v:textbox inset="0mm,0mm,0mm,0mm">
            <w:txbxContent>
              <w:p w14:paraId="59332175">
                <w:pPr>
                  <w:pStyle w:val="2"/>
                  <w:spacing w:before="20" w:line="312" w:lineRule="exact"/>
                  <w:ind w:left="20"/>
                  <w:rPr>
                    <w:sz w:val="18"/>
                    <w:szCs w:val="18"/>
                  </w:rPr>
                </w:pPr>
              </w:p>
            </w:txbxContent>
          </v:textbox>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0E6BA0">
    <w:pPr>
      <w:spacing w:line="14" w:lineRule="auto"/>
      <w:rPr>
        <w:rFonts w:ascii="Arial"/>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9AC50A">
    <w:pPr>
      <w:pStyle w:val="2"/>
      <w:spacing w:before="57" w:line="201" w:lineRule="auto"/>
      <w:ind w:left="735"/>
      <w:rPr>
        <w:sz w:val="18"/>
        <w:szCs w:val="18"/>
      </w:rPr>
    </w:pPr>
    <w:r>
      <w:pict>
        <v:shape id="_x0000_s2059" o:spid="_x0000_s2059" o:spt="202" type="#_x0000_t202" style="position:absolute;left:0pt;margin-left:342.75pt;margin-top:1.85pt;height:17.65pt;width:67.4pt;z-index:251677696;mso-width-relative:page;mso-height-relative:page;" filled="f" stroked="f" coordsize="21600,21600">
          <v:path/>
          <v:fill on="f" focussize="0,0"/>
          <v:stroke on="f"/>
          <v:imagedata o:title=""/>
          <o:lock v:ext="edit" aspectratio="f"/>
          <v:textbox inset="0mm,0mm,0mm,0mm">
            <w:txbxContent>
              <w:p w14:paraId="516B3FEF">
                <w:pPr>
                  <w:pStyle w:val="2"/>
                  <w:spacing w:before="20" w:line="312" w:lineRule="exact"/>
                  <w:ind w:left="20"/>
                  <w:rPr>
                    <w:sz w:val="18"/>
                    <w:szCs w:val="18"/>
                  </w:rPr>
                </w:pPr>
              </w:p>
            </w:txbxContent>
          </v:textbox>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5C50B3">
    <w:pPr>
      <w:spacing w:line="14" w:lineRule="auto"/>
      <w:rPr>
        <w:rFonts w:ascii="Arial"/>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148F9E">
    <w:pPr>
      <w:pStyle w:val="2"/>
      <w:spacing w:before="57" w:line="201" w:lineRule="auto"/>
      <w:ind w:left="735"/>
      <w:rPr>
        <w:sz w:val="18"/>
        <w:szCs w:val="18"/>
      </w:rPr>
    </w:pPr>
    <w:r>
      <w:pict>
        <v:shape id="_x0000_s2060" o:spid="_x0000_s2060" o:spt="202" type="#_x0000_t202" style="position:absolute;left:0pt;margin-left:342.75pt;margin-top:1.85pt;height:17.65pt;width:67.4pt;z-index:251677696;mso-width-relative:page;mso-height-relative:page;" filled="f" stroked="f" coordsize="21600,21600">
          <v:path/>
          <v:fill on="f" focussize="0,0"/>
          <v:stroke on="f"/>
          <v:imagedata o:title=""/>
          <o:lock v:ext="edit" aspectratio="f"/>
          <v:textbox inset="0mm,0mm,0mm,0mm">
            <w:txbxContent>
              <w:p w14:paraId="2B19F180">
                <w:pPr>
                  <w:pStyle w:val="2"/>
                  <w:spacing w:before="20" w:line="312" w:lineRule="exact"/>
                  <w:rPr>
                    <w:sz w:val="18"/>
                    <w:szCs w:val="18"/>
                  </w:rPr>
                </w:pPr>
              </w:p>
            </w:txbxContent>
          </v:textbox>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D478C6">
    <w:pPr>
      <w:pStyle w:val="2"/>
      <w:spacing w:before="57" w:line="201" w:lineRule="auto"/>
      <w:ind w:left="735"/>
      <w:rPr>
        <w:sz w:val="18"/>
        <w:szCs w:val="18"/>
      </w:rPr>
    </w:pPr>
    <w:r>
      <w:pict>
        <v:shape id="_x0000_s2061" o:spid="_x0000_s2061" o:spt="202" type="#_x0000_t202" style="position:absolute;left:0pt;margin-left:342.75pt;margin-top:1.85pt;height:17.65pt;width:67.4pt;z-index:251678720;mso-width-relative:page;mso-height-relative:page;" filled="f" stroked="f" coordsize="21600,21600">
          <v:path/>
          <v:fill on="f" focussize="0,0"/>
          <v:stroke on="f"/>
          <v:imagedata o:title=""/>
          <o:lock v:ext="edit" aspectratio="f"/>
          <v:textbox inset="0mm,0mm,0mm,0mm">
            <w:txbxContent>
              <w:p w14:paraId="2DD2975B">
                <w:pPr>
                  <w:pStyle w:val="2"/>
                  <w:spacing w:before="20" w:line="312" w:lineRule="exact"/>
                  <w:ind w:left="20"/>
                  <w:rPr>
                    <w:sz w:val="18"/>
                    <w:szCs w:val="18"/>
                  </w:rPr>
                </w:pPr>
              </w:p>
            </w:txbxContent>
          </v:textbox>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871CEE">
    <w:pPr>
      <w:pStyle w:val="2"/>
      <w:spacing w:before="57" w:line="201" w:lineRule="auto"/>
      <w:ind w:left="724"/>
      <w:rPr>
        <w:sz w:val="18"/>
        <w:szCs w:val="18"/>
      </w:rPr>
    </w:pPr>
    <w:r>
      <w:pict>
        <v:shape id="_x0000_s2062" o:spid="_x0000_s2062" o:spt="202" type="#_x0000_t202" style="position:absolute;left:0pt;margin-left:342.2pt;margin-top:1.85pt;height:17.65pt;width:67.4pt;z-index:251680768;mso-width-relative:page;mso-height-relative:page;" filled="f" stroked="f" coordsize="21600,21600">
          <v:path/>
          <v:fill on="f" focussize="0,0"/>
          <v:stroke on="f"/>
          <v:imagedata o:title=""/>
          <o:lock v:ext="edit" aspectratio="f"/>
          <v:textbox inset="0mm,0mm,0mm,0mm">
            <w:txbxContent>
              <w:p w14:paraId="35E00C22">
                <w:pPr>
                  <w:pStyle w:val="2"/>
                  <w:spacing w:before="20" w:line="312" w:lineRule="exact"/>
                  <w:ind w:left="20"/>
                  <w:rPr>
                    <w:sz w:val="18"/>
                    <w:szCs w:val="18"/>
                  </w:rPr>
                </w:pPr>
              </w:p>
            </w:txbxContent>
          </v:textbox>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82F6FB">
    <w:pPr>
      <w:pStyle w:val="2"/>
      <w:spacing w:before="57" w:line="201" w:lineRule="auto"/>
      <w:ind w:left="708"/>
      <w:rPr>
        <w:sz w:val="18"/>
        <w:szCs w:val="18"/>
      </w:rPr>
    </w:pPr>
    <w:r>
      <w:pict>
        <v:shape id="_x0000_s2063" o:spid="_x0000_s2063" o:spt="202" type="#_x0000_t202" style="position:absolute;left:0pt;margin-left:341.35pt;margin-top:1.85pt;height:17.65pt;width:67.4pt;z-index:251681792;mso-width-relative:page;mso-height-relative:page;" filled="f" stroked="f" coordsize="21600,21600">
          <v:path/>
          <v:fill on="f" focussize="0,0"/>
          <v:stroke on="f"/>
          <v:imagedata o:title=""/>
          <o:lock v:ext="edit" aspectratio="f"/>
          <v:textbox inset="0mm,0mm,0mm,0mm">
            <w:txbxContent>
              <w:p w14:paraId="0B30AB4C">
                <w:pPr>
                  <w:pStyle w:val="2"/>
                  <w:spacing w:before="20" w:line="312" w:lineRule="exact"/>
                  <w:rPr>
                    <w:sz w:val="18"/>
                    <w:szCs w:val="18"/>
                  </w:rPr>
                </w:pP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0E9209">
    <w:pPr>
      <w:pStyle w:val="2"/>
      <w:spacing w:before="38" w:line="204" w:lineRule="auto"/>
      <w:ind w:left="555"/>
      <w:rPr>
        <w:sz w:val="18"/>
        <w:szCs w:val="18"/>
      </w:rPr>
    </w:pPr>
    <w:r>
      <w:pict>
        <v:shape id="_x0000_s2049" o:spid="_x0000_s2049" o:spt="202" type="#_x0000_t202" style="position:absolute;left:0pt;margin-left:390.9pt;margin-top:0.9pt;height:17.9pt;width:70.6pt;z-index:251662336;mso-width-relative:page;mso-height-relative:page;" filled="f" stroked="f" coordsize="21600,21600">
          <v:path/>
          <v:fill on="f" focussize="0,0"/>
          <v:stroke on="f"/>
          <v:imagedata o:title=""/>
          <o:lock v:ext="edit" aspectratio="f"/>
          <v:textbox inset="0mm,0mm,0mm,0mm">
            <w:txbxContent>
              <w:p w14:paraId="2258FDD3">
                <w:pPr>
                  <w:pStyle w:val="2"/>
                  <w:spacing w:before="20" w:line="317" w:lineRule="exact"/>
                  <w:rPr>
                    <w:sz w:val="18"/>
                    <w:szCs w:val="18"/>
                  </w:rPr>
                </w:pPr>
              </w:p>
            </w:txbxContent>
          </v:textbox>
        </v:shape>
      </w:pict>
    </w:r>
    <w:r>
      <w:drawing>
        <wp:anchor distT="0" distB="0" distL="0" distR="0" simplePos="0" relativeHeight="251660288" behindDoc="1" locked="0" layoutInCell="1" allowOverlap="1">
          <wp:simplePos x="0" y="0"/>
          <wp:positionH relativeFrom="column">
            <wp:posOffset>0</wp:posOffset>
          </wp:positionH>
          <wp:positionV relativeFrom="paragraph">
            <wp:posOffset>-9378315</wp:posOffset>
          </wp:positionV>
          <wp:extent cx="6767830" cy="9575165"/>
          <wp:effectExtent l="0" t="0" r="0" b="0"/>
          <wp:wrapNone/>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
                  <a:stretch>
                    <a:fillRect/>
                  </a:stretch>
                </pic:blipFill>
                <pic:spPr>
                  <a:xfrm>
                    <a:off x="0" y="0"/>
                    <a:ext cx="6768084" cy="9575292"/>
                  </a:xfrm>
                  <a:prstGeom prst="rect">
                    <a:avLst/>
                  </a:prstGeom>
                </pic:spPr>
              </pic:pic>
            </a:graphicData>
          </a:graphic>
        </wp:anchor>
      </w:drawing>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7B579F">
    <w:pPr>
      <w:spacing w:line="14" w:lineRule="auto"/>
      <w:rPr>
        <w:rFonts w:ascii="Arial"/>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DD3F0D">
    <w:pPr>
      <w:pStyle w:val="2"/>
      <w:spacing w:before="57" w:line="201" w:lineRule="auto"/>
      <w:ind w:left="1416"/>
      <w:rPr>
        <w:sz w:val="18"/>
        <w:szCs w:val="18"/>
      </w:rPr>
    </w:pPr>
    <w:r>
      <w:pict>
        <v:shape id="_x0000_s2064" o:spid="_x0000_s2064" o:spt="202" type="#_x0000_t202" style="position:absolute;left:0pt;margin-left:376.9pt;margin-top:1.85pt;height:17.65pt;width:67.4pt;z-index:251682816;mso-width-relative:page;mso-height-relative:page;" filled="f" stroked="f" coordsize="21600,21600">
          <v:path/>
          <v:fill on="f" focussize="0,0"/>
          <v:stroke on="f"/>
          <v:imagedata o:title=""/>
          <o:lock v:ext="edit" aspectratio="f"/>
          <v:textbox inset="0mm,0mm,0mm,0mm">
            <w:txbxContent>
              <w:p w14:paraId="4A3F1000">
                <w:pPr>
                  <w:pStyle w:val="2"/>
                  <w:spacing w:before="20" w:line="312" w:lineRule="exact"/>
                  <w:rPr>
                    <w:sz w:val="18"/>
                    <w:szCs w:val="18"/>
                  </w:rPr>
                </w:pPr>
              </w:p>
            </w:txbxContent>
          </v:textbox>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83036D">
    <w:pPr>
      <w:pStyle w:val="2"/>
      <w:spacing w:before="57" w:line="201" w:lineRule="auto"/>
      <w:ind w:left="1416"/>
      <w:rPr>
        <w:sz w:val="18"/>
        <w:szCs w:val="18"/>
      </w:rPr>
    </w:pPr>
    <w:r>
      <w:pict>
        <v:shape id="_x0000_s2065" o:spid="_x0000_s2065" o:spt="202" type="#_x0000_t202" style="position:absolute;left:0pt;margin-left:376.9pt;margin-top:1.85pt;height:17.65pt;width:67.4pt;z-index:251684864;mso-width-relative:page;mso-height-relative:page;" filled="f" stroked="f" coordsize="21600,21600">
          <v:path/>
          <v:fill on="f" focussize="0,0"/>
          <v:stroke on="f"/>
          <v:imagedata o:title=""/>
          <o:lock v:ext="edit" aspectratio="f"/>
          <v:textbox inset="0mm,0mm,0mm,0mm">
            <w:txbxContent>
              <w:p w14:paraId="66F7327D">
                <w:pPr>
                  <w:pStyle w:val="2"/>
                  <w:spacing w:before="20" w:line="312" w:lineRule="exact"/>
                  <w:ind w:left="20"/>
                  <w:rPr>
                    <w:sz w:val="18"/>
                    <w:szCs w:val="18"/>
                  </w:rPr>
                </w:pPr>
              </w:p>
            </w:txbxContent>
          </v:textbox>
        </v:shape>
      </w:pict>
    </w:r>
    <w:r>
      <w:drawing>
        <wp:anchor distT="0" distB="0" distL="0" distR="0" simplePos="0" relativeHeight="251685888" behindDoc="0" locked="0" layoutInCell="0" allowOverlap="1">
          <wp:simplePos x="0" y="0"/>
          <wp:positionH relativeFrom="page">
            <wp:posOffset>0</wp:posOffset>
          </wp:positionH>
          <wp:positionV relativeFrom="page">
            <wp:posOffset>0</wp:posOffset>
          </wp:positionV>
          <wp:extent cx="6767830" cy="9357360"/>
          <wp:effectExtent l="0" t="0" r="0" b="0"/>
          <wp:wrapNone/>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1"/>
                  <a:stretch>
                    <a:fillRect/>
                  </a:stretch>
                </pic:blipFill>
                <pic:spPr>
                  <a:xfrm>
                    <a:off x="0" y="0"/>
                    <a:ext cx="6768084" cy="9357359"/>
                  </a:xfrm>
                  <a:prstGeom prst="rect">
                    <a:avLst/>
                  </a:prstGeom>
                </pic:spPr>
              </pic:pic>
            </a:graphicData>
          </a:graphic>
        </wp:anchor>
      </w:drawing>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7C9A08">
    <w:pPr>
      <w:pStyle w:val="2"/>
      <w:spacing w:before="57" w:line="201" w:lineRule="auto"/>
      <w:ind w:left="737"/>
      <w:rPr>
        <w:sz w:val="18"/>
        <w:szCs w:val="18"/>
      </w:rPr>
    </w:pPr>
    <w:r>
      <w:pict>
        <v:shape id="_x0000_s2066" o:spid="_x0000_s2066" o:spt="202" type="#_x0000_t202" style="position:absolute;left:0pt;margin-left:342.8pt;margin-top:1.85pt;height:17.65pt;width:67.4pt;z-index:251687936;mso-width-relative:page;mso-height-relative:page;" filled="f" stroked="f" coordsize="21600,21600">
          <v:path/>
          <v:fill on="f" focussize="0,0"/>
          <v:stroke on="f"/>
          <v:imagedata o:title=""/>
          <o:lock v:ext="edit" aspectratio="f"/>
          <v:textbox inset="0mm,0mm,0mm,0mm">
            <w:txbxContent>
              <w:p w14:paraId="069486AA">
                <w:pPr>
                  <w:pStyle w:val="2"/>
                  <w:spacing w:before="20" w:line="312" w:lineRule="exact"/>
                  <w:rPr>
                    <w:sz w:val="18"/>
                    <w:szCs w:val="18"/>
                  </w:rPr>
                </w:pPr>
              </w:p>
            </w:txbxContent>
          </v:textbox>
        </v:shape>
      </w:pict>
    </w:r>
    <w:r>
      <w:drawing>
        <wp:anchor distT="0" distB="0" distL="0" distR="0" simplePos="0" relativeHeight="251686912" behindDoc="1" locked="0" layoutInCell="1" allowOverlap="1">
          <wp:simplePos x="0" y="0"/>
          <wp:positionH relativeFrom="column">
            <wp:posOffset>0</wp:posOffset>
          </wp:positionH>
          <wp:positionV relativeFrom="paragraph">
            <wp:posOffset>-9368790</wp:posOffset>
          </wp:positionV>
          <wp:extent cx="6767830" cy="9575165"/>
          <wp:effectExtent l="0" t="0" r="0" b="0"/>
          <wp:wrapNone/>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1"/>
                  <a:stretch>
                    <a:fillRect/>
                  </a:stretch>
                </pic:blipFill>
                <pic:spPr>
                  <a:xfrm>
                    <a:off x="0" y="0"/>
                    <a:ext cx="6768084" cy="9575292"/>
                  </a:xfrm>
                  <a:prstGeom prst="rect">
                    <a:avLst/>
                  </a:prstGeom>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D07601">
    <w:pPr>
      <w:spacing w:line="14" w:lineRule="auto"/>
      <w:rPr>
        <w:rFonts w:ascii="Arial"/>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D148D8">
    <w:pPr>
      <w:pStyle w:val="2"/>
      <w:spacing w:before="57" w:line="201" w:lineRule="auto"/>
      <w:ind w:left="737"/>
      <w:rPr>
        <w:sz w:val="18"/>
        <w:szCs w:val="18"/>
      </w:rPr>
    </w:pPr>
    <w:r>
      <w:pict>
        <v:shape id="_x0000_s2050" o:spid="_x0000_s2050" o:spt="202" type="#_x0000_t202" style="position:absolute;left:0pt;margin-left:342.8pt;margin-top:1.85pt;height:17.65pt;width:67.4pt;z-index:251666432;mso-width-relative:page;mso-height-relative:page;" filled="f" stroked="f" coordsize="21600,21600">
          <v:path/>
          <v:fill on="f" focussize="0,0"/>
          <v:stroke on="f"/>
          <v:imagedata o:title=""/>
          <o:lock v:ext="edit" aspectratio="f"/>
          <v:textbox inset="0mm,0mm,0mm,0mm">
            <w:txbxContent>
              <w:p w14:paraId="598E4A02">
                <w:pPr>
                  <w:pStyle w:val="2"/>
                  <w:spacing w:before="20" w:line="312" w:lineRule="exact"/>
                  <w:ind w:left="20"/>
                  <w:rPr>
                    <w:sz w:val="18"/>
                    <w:szCs w:val="18"/>
                  </w:rPr>
                </w:pP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C170B5">
    <w:pPr>
      <w:pStyle w:val="2"/>
      <w:spacing w:before="57" w:line="201" w:lineRule="auto"/>
      <w:ind w:left="736"/>
      <w:rPr>
        <w:sz w:val="18"/>
        <w:szCs w:val="18"/>
      </w:rPr>
    </w:pPr>
    <w:r>
      <w:pict>
        <v:shape id="_x0000_s2051" o:spid="_x0000_s2051" o:spt="202" type="#_x0000_t202" style="position:absolute;left:0pt;margin-left:342.75pt;margin-top:1.85pt;height:17.65pt;width:67.4pt;z-index:251667456;mso-width-relative:page;mso-height-relative:page;" filled="f" stroked="f" coordsize="21600,21600">
          <v:path/>
          <v:fill on="f" focussize="0,0"/>
          <v:stroke on="f"/>
          <v:imagedata o:title=""/>
          <o:lock v:ext="edit" aspectratio="f"/>
          <v:textbox inset="0mm,0mm,0mm,0mm">
            <w:txbxContent>
              <w:p w14:paraId="17F4E687">
                <w:pPr>
                  <w:pStyle w:val="2"/>
                  <w:spacing w:before="20" w:line="312" w:lineRule="exact"/>
                  <w:rPr>
                    <w:sz w:val="18"/>
                    <w:szCs w:val="18"/>
                  </w:rPr>
                </w:pP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9006CC">
    <w:pPr>
      <w:pStyle w:val="2"/>
      <w:spacing w:before="57" w:line="201" w:lineRule="auto"/>
      <w:ind w:left="736"/>
      <w:rPr>
        <w:sz w:val="18"/>
        <w:szCs w:val="18"/>
      </w:rPr>
    </w:pPr>
    <w:r>
      <w:pict>
        <v:shape id="_x0000_s2052" o:spid="_x0000_s2052" o:spt="202" type="#_x0000_t202" style="position:absolute;left:0pt;margin-left:342.9pt;margin-top:1.85pt;height:17.65pt;width:67.4pt;z-index:251668480;mso-width-relative:page;mso-height-relative:page;" filled="f" stroked="f" coordsize="21600,21600">
          <v:path/>
          <v:fill on="f" focussize="0,0"/>
          <v:stroke on="f"/>
          <v:imagedata o:title=""/>
          <o:lock v:ext="edit" aspectratio="f"/>
          <v:textbox inset="0mm,0mm,0mm,0mm">
            <w:txbxContent>
              <w:p w14:paraId="4D617231">
                <w:pPr>
                  <w:pStyle w:val="2"/>
                  <w:spacing w:before="20" w:line="312" w:lineRule="exact"/>
                  <w:ind w:left="20"/>
                  <w:rPr>
                    <w:sz w:val="18"/>
                    <w:szCs w:val="18"/>
                  </w:rPr>
                </w:pP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109C1A">
    <w:pPr>
      <w:pStyle w:val="2"/>
      <w:spacing w:before="57" w:line="201" w:lineRule="auto"/>
      <w:ind w:left="736"/>
      <w:rPr>
        <w:sz w:val="18"/>
        <w:szCs w:val="18"/>
      </w:rPr>
    </w:pPr>
    <w:r>
      <w:pict>
        <v:shape id="_x0000_s2053" o:spid="_x0000_s2053" o:spt="202" type="#_x0000_t202" style="position:absolute;left:0pt;margin-left:342.9pt;margin-top:1.85pt;height:17.65pt;width:67.4pt;z-index:251669504;mso-width-relative:page;mso-height-relative:page;" filled="f" stroked="f" coordsize="21600,21600">
          <v:path/>
          <v:fill on="f" focussize="0,0"/>
          <v:stroke on="f"/>
          <v:imagedata o:title=""/>
          <o:lock v:ext="edit" aspectratio="f"/>
          <v:textbox inset="0mm,0mm,0mm,0mm">
            <w:txbxContent>
              <w:p w14:paraId="3DCB559A">
                <w:pPr>
                  <w:pStyle w:val="2"/>
                  <w:spacing w:before="20" w:line="312" w:lineRule="exact"/>
                  <w:ind w:left="20"/>
                  <w:rPr>
                    <w:sz w:val="18"/>
                    <w:szCs w:val="18"/>
                  </w:rPr>
                </w:pP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702541">
    <w:pPr>
      <w:pStyle w:val="2"/>
      <w:spacing w:before="57" w:line="201" w:lineRule="auto"/>
      <w:ind w:left="734"/>
      <w:rPr>
        <w:sz w:val="18"/>
        <w:szCs w:val="18"/>
      </w:rPr>
    </w:pPr>
    <w:r>
      <w:pict>
        <v:shape id="_x0000_s2054" o:spid="_x0000_s2054" o:spt="202" type="#_x0000_t202" style="position:absolute;left:0pt;margin-left:342.8pt;margin-top:1.85pt;height:17.65pt;width:67.4pt;z-index:251670528;mso-width-relative:page;mso-height-relative:page;" filled="f" stroked="f" coordsize="21600,21600">
          <v:path/>
          <v:fill on="f" focussize="0,0"/>
          <v:stroke on="f"/>
          <v:imagedata o:title=""/>
          <o:lock v:ext="edit" aspectratio="f"/>
          <v:textbox inset="0mm,0mm,0mm,0mm">
            <w:txbxContent>
              <w:p w14:paraId="771D3025">
                <w:pPr>
                  <w:pStyle w:val="2"/>
                  <w:spacing w:before="20" w:line="312" w:lineRule="exact"/>
                  <w:ind w:left="20"/>
                  <w:rPr>
                    <w:sz w:val="18"/>
                    <w:szCs w:val="18"/>
                  </w:rPr>
                </w:pP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5D7AC7">
    <w:pPr>
      <w:pStyle w:val="2"/>
      <w:spacing w:before="57" w:line="201" w:lineRule="auto"/>
      <w:ind w:left="737"/>
      <w:rPr>
        <w:sz w:val="18"/>
        <w:szCs w:val="18"/>
      </w:rPr>
    </w:pPr>
    <w:r>
      <w:pict>
        <v:shape id="_x0000_s2055" o:spid="_x0000_s2055" o:spt="202" type="#_x0000_t202" style="position:absolute;left:0pt;margin-left:342.95pt;margin-top:1.85pt;height:17.65pt;width:67.4pt;z-index:251671552;mso-width-relative:page;mso-height-relative:page;" filled="f" stroked="f" coordsize="21600,21600">
          <v:path/>
          <v:fill on="f" focussize="0,0"/>
          <v:stroke on="f"/>
          <v:imagedata o:title=""/>
          <o:lock v:ext="edit" aspectratio="f"/>
          <v:textbox inset="0mm,0mm,0mm,0mm">
            <w:txbxContent>
              <w:p w14:paraId="19B7D4D8">
                <w:pPr>
                  <w:pStyle w:val="2"/>
                  <w:spacing w:before="20" w:line="312" w:lineRule="exact"/>
                  <w:rPr>
                    <w:sz w:val="18"/>
                    <w:szCs w:val="18"/>
                  </w:rPr>
                </w:pP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4820E8">
    <w:pPr>
      <w:pStyle w:val="3"/>
    </w:pPr>
    <w:r>
      <w:drawing>
        <wp:anchor distT="0" distB="0" distL="0" distR="0" simplePos="0" relativeHeight="251683840" behindDoc="0" locked="0" layoutInCell="0" allowOverlap="1">
          <wp:simplePos x="0" y="0"/>
          <wp:positionH relativeFrom="page">
            <wp:posOffset>0</wp:posOffset>
          </wp:positionH>
          <wp:positionV relativeFrom="page">
            <wp:posOffset>-284480</wp:posOffset>
          </wp:positionV>
          <wp:extent cx="6767830" cy="9913620"/>
          <wp:effectExtent l="0" t="0" r="13970" b="7620"/>
          <wp:wrapNone/>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1"/>
                  <a:stretch>
                    <a:fillRect/>
                  </a:stretch>
                </pic:blipFill>
                <pic:spPr>
                  <a:xfrm>
                    <a:off x="0" y="0"/>
                    <a:ext cx="6768084" cy="991362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C959CA">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A586566"/>
    <w:rsid w:val="16785276"/>
    <w:rsid w:val="19D90D46"/>
    <w:rsid w:val="1A052109"/>
    <w:rsid w:val="1CF566E1"/>
    <w:rsid w:val="2CC338BC"/>
    <w:rsid w:val="2D46629B"/>
    <w:rsid w:val="2E352597"/>
    <w:rsid w:val="38331FC9"/>
    <w:rsid w:val="44927E80"/>
    <w:rsid w:val="4DFC6AD0"/>
    <w:rsid w:val="60491827"/>
    <w:rsid w:val="6F9A747F"/>
    <w:rsid w:val="71332FB3"/>
    <w:rsid w:val="732759DD"/>
    <w:rsid w:val="78B260D7"/>
    <w:rsid w:val="7BD227A0"/>
    <w:rsid w:val="7C0413F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微软雅黑" w:hAnsi="微软雅黑" w:eastAsia="微软雅黑" w:cs="微软雅黑"/>
      <w:sz w:val="20"/>
      <w:szCs w:val="20"/>
      <w:lang w:val="en-US" w:eastAsia="en-US" w:bidi="ar-SA"/>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customStyle="1" w:styleId="6">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5" Type="http://schemas.openxmlformats.org/officeDocument/2006/relationships/fontTable" Target="fontTable.xml"/><Relationship Id="rId54" Type="http://schemas.openxmlformats.org/officeDocument/2006/relationships/customXml" Target="../customXml/item1.xml"/><Relationship Id="rId53" Type="http://schemas.openxmlformats.org/officeDocument/2006/relationships/image" Target="media/image26.png"/><Relationship Id="rId52" Type="http://schemas.openxmlformats.org/officeDocument/2006/relationships/image" Target="media/image25.png"/><Relationship Id="rId51" Type="http://schemas.openxmlformats.org/officeDocument/2006/relationships/image" Target="media/image24.png"/><Relationship Id="rId50" Type="http://schemas.openxmlformats.org/officeDocument/2006/relationships/image" Target="media/image23.png"/><Relationship Id="rId5" Type="http://schemas.openxmlformats.org/officeDocument/2006/relationships/footer" Target="footer1.xml"/><Relationship Id="rId49" Type="http://schemas.openxmlformats.org/officeDocument/2006/relationships/image" Target="media/image22.png"/><Relationship Id="rId48" Type="http://schemas.openxmlformats.org/officeDocument/2006/relationships/image" Target="media/image21.jpeg"/><Relationship Id="rId47" Type="http://schemas.openxmlformats.org/officeDocument/2006/relationships/image" Target="media/image20.png"/><Relationship Id="rId46" Type="http://schemas.openxmlformats.org/officeDocument/2006/relationships/image" Target="media/image19.png"/><Relationship Id="rId45" Type="http://schemas.openxmlformats.org/officeDocument/2006/relationships/image" Target="media/image18.png"/><Relationship Id="rId44" Type="http://schemas.openxmlformats.org/officeDocument/2006/relationships/image" Target="media/image17.png"/><Relationship Id="rId43" Type="http://schemas.openxmlformats.org/officeDocument/2006/relationships/image" Target="media/image16.png"/><Relationship Id="rId42" Type="http://schemas.openxmlformats.org/officeDocument/2006/relationships/image" Target="media/image15.png"/><Relationship Id="rId41" Type="http://schemas.openxmlformats.org/officeDocument/2006/relationships/image" Target="media/image14.png"/><Relationship Id="rId40" Type="http://schemas.openxmlformats.org/officeDocument/2006/relationships/image" Target="media/image13.png"/><Relationship Id="rId4" Type="http://schemas.openxmlformats.org/officeDocument/2006/relationships/endnotes" Target="endnotes.xml"/><Relationship Id="rId39" Type="http://schemas.openxmlformats.org/officeDocument/2006/relationships/image" Target="media/image12.png"/><Relationship Id="rId38" Type="http://schemas.openxmlformats.org/officeDocument/2006/relationships/image" Target="media/image11.png"/><Relationship Id="rId37" Type="http://schemas.openxmlformats.org/officeDocument/2006/relationships/image" Target="media/image10.png"/><Relationship Id="rId36" Type="http://schemas.openxmlformats.org/officeDocument/2006/relationships/image" Target="media/image9.png"/><Relationship Id="rId35" Type="http://schemas.openxmlformats.org/officeDocument/2006/relationships/image" Target="media/image8.png"/><Relationship Id="rId34" Type="http://schemas.openxmlformats.org/officeDocument/2006/relationships/image" Target="media/image7.png"/><Relationship Id="rId33" Type="http://schemas.openxmlformats.org/officeDocument/2006/relationships/image" Target="media/image6.jpeg"/><Relationship Id="rId32" Type="http://schemas.openxmlformats.org/officeDocument/2006/relationships/image" Target="media/image5.png"/><Relationship Id="rId31" Type="http://schemas.openxmlformats.org/officeDocument/2006/relationships/image" Target="media/image4.png"/><Relationship Id="rId30" Type="http://schemas.openxmlformats.org/officeDocument/2006/relationships/theme" Target="theme/theme1.xml"/><Relationship Id="rId3" Type="http://schemas.openxmlformats.org/officeDocument/2006/relationships/footnotes" Target="footnotes.xml"/><Relationship Id="rId29" Type="http://schemas.openxmlformats.org/officeDocument/2006/relationships/footer" Target="footer23.xml"/><Relationship Id="rId28" Type="http://schemas.openxmlformats.org/officeDocument/2006/relationships/header" Target="header2.xml"/><Relationship Id="rId27" Type="http://schemas.openxmlformats.org/officeDocument/2006/relationships/footer" Target="footer22.xml"/><Relationship Id="rId26" Type="http://schemas.openxmlformats.org/officeDocument/2006/relationships/footer" Target="footer21.xml"/><Relationship Id="rId25" Type="http://schemas.openxmlformats.org/officeDocument/2006/relationships/header" Target="header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22.xml.rels><?xml version="1.0" encoding="UTF-8" standalone="yes"?>
<Relationships xmlns="http://schemas.openxmlformats.org/package/2006/relationships"><Relationship Id="rId1" Type="http://schemas.openxmlformats.org/officeDocument/2006/relationships/image" Target="media/image2.png"/></Relationships>
</file>

<file path=word/_rels/footer2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1026" textRotate="1"/>
    <customShpInfo spid="_x0000_s1027"/>
    <customShpInfo spid="_x0000_s1028"/>
    <customShpInfo spid="_x0000_s1029"/>
    <customShpInfo spid="_x0000_s1030"/>
    <customShpInfo spid="_x0000_s1031"/>
    <customShpInfo spid="_x0000_s1036"/>
    <customShpInfo spid="_x0000_s103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30</Pages>
  <Words>9169</Words>
  <Characters>9865</Characters>
  <TotalTime>5</TotalTime>
  <ScaleCrop>false</ScaleCrop>
  <LinksUpToDate>false</LinksUpToDate>
  <CharactersWithSpaces>11588</CharactersWithSpaces>
  <Application>WPS Office_12.1.0.21915_F1E327BC-269C-435d-A152-05C5408002CA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2025-07-11T11:04:00Z</dcterms:created>
  <dc:creator>Administrator</dc:creator>
  <cp:lastModifiedBy>进近JING</cp:lastModifiedBy>
  <dcterms:modified xsi:type="dcterms:W3CDTF">2025-07-15T11:53:50Z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2025-07-11T14:00:42Z</vt:filetime>
  </property>
  <property fmtid="{D5CDD505-2E9C-101B-9397-08002B2CF9AE}" pid="4" name="KSOTemplateDocerSaveRecord">
    <vt:lpwstr>eyJoZGlkIjoiYzIyMTQ1Nzg2Y2E0MGZmMjMwMGI5N2QxOTkxNTQyY2IiLCJ1c2VySWQiOiIxMTIzOTgwMzM4In0=</vt:lpwstr>
  </property>
  <property fmtid="{D5CDD505-2E9C-101B-9397-08002B2CF9AE}" pid="5" name="KSOProductBuildVer">
    <vt:lpwstr>2052-12.1.0.21915</vt:lpwstr>
  </property>
  <property fmtid="{D5CDD505-2E9C-101B-9397-08002B2CF9AE}" pid="6" name="ICV">
    <vt:lpwstr>0C8A62E79FDC4974933C396DCB54BBCF_13</vt:lpwstr>
  </property>
</Properties>
</file>